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6E" w:rsidRDefault="009B496E" w:rsidP="009B496E">
      <w:pPr>
        <w:spacing w:after="120" w:line="264" w:lineRule="auto"/>
        <w:jc w:val="center"/>
        <w:rPr>
          <w:b/>
          <w:sz w:val="26"/>
          <w:szCs w:val="26"/>
        </w:rPr>
      </w:pPr>
      <w:r>
        <w:rPr>
          <w:b/>
          <w:sz w:val="26"/>
          <w:szCs w:val="26"/>
        </w:rPr>
        <w:t>Pfarrkonvent Freiburg 20.11.2015</w:t>
      </w:r>
    </w:p>
    <w:p w:rsidR="009B496E" w:rsidRDefault="00366562" w:rsidP="00E27AC4">
      <w:pPr>
        <w:spacing w:after="120" w:line="264" w:lineRule="auto"/>
        <w:jc w:val="center"/>
        <w:rPr>
          <w:b/>
          <w:sz w:val="26"/>
          <w:szCs w:val="26"/>
        </w:rPr>
      </w:pPr>
      <w:r>
        <w:rPr>
          <w:b/>
          <w:sz w:val="26"/>
          <w:szCs w:val="26"/>
        </w:rPr>
        <w:t xml:space="preserve">Pfarrer Prof. Dr. </w:t>
      </w:r>
      <w:r w:rsidR="00E27AC4">
        <w:rPr>
          <w:b/>
          <w:sz w:val="26"/>
          <w:szCs w:val="26"/>
        </w:rPr>
        <w:t>Klaus Müller z</w:t>
      </w:r>
      <w:r w:rsidR="009B496E">
        <w:rPr>
          <w:b/>
          <w:sz w:val="26"/>
          <w:szCs w:val="26"/>
        </w:rPr>
        <w:t xml:space="preserve">ur Debatte mit </w:t>
      </w:r>
      <w:r w:rsidR="00CD260E">
        <w:rPr>
          <w:b/>
          <w:sz w:val="26"/>
          <w:szCs w:val="26"/>
        </w:rPr>
        <w:t xml:space="preserve">Professor Dr. </w:t>
      </w:r>
      <w:proofErr w:type="spellStart"/>
      <w:r w:rsidR="009B496E">
        <w:rPr>
          <w:b/>
          <w:sz w:val="26"/>
          <w:szCs w:val="26"/>
        </w:rPr>
        <w:t>Notger</w:t>
      </w:r>
      <w:proofErr w:type="spellEnd"/>
      <w:r w:rsidR="009B496E">
        <w:rPr>
          <w:b/>
          <w:sz w:val="26"/>
          <w:szCs w:val="26"/>
        </w:rPr>
        <w:t xml:space="preserve"> </w:t>
      </w:r>
      <w:proofErr w:type="spellStart"/>
      <w:r w:rsidR="009B496E">
        <w:rPr>
          <w:b/>
          <w:sz w:val="26"/>
          <w:szCs w:val="26"/>
        </w:rPr>
        <w:t>Slenczka</w:t>
      </w:r>
      <w:proofErr w:type="spellEnd"/>
    </w:p>
    <w:p w:rsidR="00F24DFE" w:rsidRPr="00400794" w:rsidRDefault="00337B07" w:rsidP="009B496E">
      <w:pPr>
        <w:spacing w:after="120" w:line="264" w:lineRule="auto"/>
        <w:jc w:val="center"/>
        <w:rPr>
          <w:b/>
          <w:sz w:val="26"/>
          <w:szCs w:val="26"/>
        </w:rPr>
      </w:pPr>
      <w:r w:rsidRPr="00400794">
        <w:rPr>
          <w:b/>
          <w:sz w:val="26"/>
          <w:szCs w:val="26"/>
        </w:rPr>
        <w:t xml:space="preserve">7 </w:t>
      </w:r>
      <w:r w:rsidR="00446869">
        <w:rPr>
          <w:b/>
          <w:sz w:val="26"/>
          <w:szCs w:val="26"/>
        </w:rPr>
        <w:t>Leitsätze</w:t>
      </w:r>
      <w:r w:rsidR="00F24DFE" w:rsidRPr="00400794">
        <w:rPr>
          <w:b/>
          <w:sz w:val="26"/>
          <w:szCs w:val="26"/>
        </w:rPr>
        <w:t xml:space="preserve"> </w:t>
      </w:r>
      <w:r w:rsidR="009B496E">
        <w:rPr>
          <w:b/>
          <w:sz w:val="26"/>
          <w:szCs w:val="26"/>
        </w:rPr>
        <w:t xml:space="preserve">samt Erläuterungen </w:t>
      </w:r>
      <w:r w:rsidR="00F24DFE" w:rsidRPr="00400794">
        <w:rPr>
          <w:b/>
          <w:sz w:val="26"/>
          <w:szCs w:val="26"/>
        </w:rPr>
        <w:t xml:space="preserve">zur bleibenden Relevanz der </w:t>
      </w:r>
      <w:proofErr w:type="spellStart"/>
      <w:r w:rsidR="00F24DFE" w:rsidRPr="00400794">
        <w:rPr>
          <w:b/>
          <w:sz w:val="26"/>
          <w:szCs w:val="26"/>
        </w:rPr>
        <w:t>Hebräischen</w:t>
      </w:r>
      <w:proofErr w:type="spellEnd"/>
      <w:r w:rsidR="00F24DFE" w:rsidRPr="00400794">
        <w:rPr>
          <w:b/>
          <w:sz w:val="26"/>
          <w:szCs w:val="26"/>
        </w:rPr>
        <w:t xml:space="preserve"> Bibel für die christliche Kirche</w:t>
      </w:r>
    </w:p>
    <w:p w:rsidR="00F24DFE" w:rsidRPr="00400794" w:rsidRDefault="00446869" w:rsidP="009B496E">
      <w:pPr>
        <w:pStyle w:val="Default"/>
        <w:spacing w:after="120" w:line="264" w:lineRule="auto"/>
        <w:jc w:val="center"/>
        <w:rPr>
          <w:rFonts w:asciiTheme="minorHAnsi" w:hAnsiTheme="minorHAnsi"/>
          <w:b/>
        </w:rPr>
      </w:pPr>
      <w:r>
        <w:rPr>
          <w:rFonts w:asciiTheme="minorHAnsi" w:hAnsiTheme="minorHAnsi"/>
        </w:rPr>
        <w:t>„H</w:t>
      </w:r>
      <w:r w:rsidR="00F24DFE" w:rsidRPr="00400794">
        <w:rPr>
          <w:rFonts w:asciiTheme="minorHAnsi" w:hAnsiTheme="minorHAnsi"/>
        </w:rPr>
        <w:t xml:space="preserve">erausgerufen“ </w:t>
      </w:r>
      <w:r w:rsidR="00337B07" w:rsidRPr="00400794">
        <w:rPr>
          <w:rFonts w:asciiTheme="minorHAnsi" w:hAnsiTheme="minorHAnsi"/>
        </w:rPr>
        <w:t>-</w:t>
      </w:r>
      <w:r w:rsidR="00F24DFE" w:rsidRPr="00400794">
        <w:rPr>
          <w:rFonts w:asciiTheme="minorHAnsi" w:hAnsiTheme="minorHAnsi"/>
        </w:rPr>
        <w:t xml:space="preserve"> um nicht zu sagen „provoziert“ </w:t>
      </w:r>
      <w:r w:rsidR="00337B07" w:rsidRPr="00400794">
        <w:rPr>
          <w:rFonts w:asciiTheme="minorHAnsi" w:hAnsiTheme="minorHAnsi"/>
        </w:rPr>
        <w:t>-</w:t>
      </w:r>
      <w:r w:rsidR="00F24DFE" w:rsidRPr="00400794">
        <w:rPr>
          <w:rFonts w:asciiTheme="minorHAnsi" w:hAnsiTheme="minorHAnsi"/>
        </w:rPr>
        <w:t xml:space="preserve"> durch </w:t>
      </w:r>
      <w:proofErr w:type="spellStart"/>
      <w:r w:rsidR="00F24DFE" w:rsidRPr="00400794">
        <w:rPr>
          <w:rFonts w:asciiTheme="minorHAnsi" w:hAnsiTheme="minorHAnsi"/>
        </w:rPr>
        <w:t>Notger</w:t>
      </w:r>
      <w:proofErr w:type="spellEnd"/>
      <w:r w:rsidR="00F24DFE" w:rsidRPr="00400794">
        <w:rPr>
          <w:rFonts w:asciiTheme="minorHAnsi" w:hAnsiTheme="minorHAnsi"/>
        </w:rPr>
        <w:t xml:space="preserve"> </w:t>
      </w:r>
      <w:proofErr w:type="spellStart"/>
      <w:r w:rsidR="00F24DFE" w:rsidRPr="00400794">
        <w:rPr>
          <w:rFonts w:asciiTheme="minorHAnsi" w:hAnsiTheme="minorHAnsi"/>
        </w:rPr>
        <w:t>Slenczkas</w:t>
      </w:r>
      <w:proofErr w:type="spellEnd"/>
      <w:r w:rsidR="00F24DFE" w:rsidRPr="00400794">
        <w:rPr>
          <w:rFonts w:asciiTheme="minorHAnsi" w:hAnsiTheme="minorHAnsi"/>
        </w:rPr>
        <w:t xml:space="preserve"> </w:t>
      </w:r>
      <w:r w:rsidR="00400794" w:rsidRPr="00400794">
        <w:rPr>
          <w:rFonts w:asciiTheme="minorHAnsi" w:hAnsiTheme="minorHAnsi"/>
        </w:rPr>
        <w:t>„Überlegungen zu der These, dass das AT in der Tat, wie Harnack vorgeschlagen hat, eine kanonische Geltung in der Kirche nicht haben sollte“:</w:t>
      </w:r>
    </w:p>
    <w:p w:rsidR="009B496E" w:rsidRDefault="006C3AAA" w:rsidP="009B496E">
      <w:pPr>
        <w:spacing w:after="120" w:line="264" w:lineRule="auto"/>
        <w:rPr>
          <w:sz w:val="24"/>
          <w:szCs w:val="24"/>
        </w:rPr>
      </w:pPr>
      <w:r>
        <w:rPr>
          <w:sz w:val="14"/>
          <w:szCs w:val="14"/>
        </w:rPr>
        <w:br/>
      </w:r>
      <w:r>
        <w:rPr>
          <w:sz w:val="14"/>
          <w:szCs w:val="14"/>
        </w:rPr>
        <w:br/>
      </w:r>
      <w:r w:rsidRPr="009446F0">
        <w:rPr>
          <w:sz w:val="24"/>
          <w:szCs w:val="24"/>
        </w:rPr>
        <w:t xml:space="preserve">1. </w:t>
      </w:r>
      <w:r w:rsidR="00602773" w:rsidRPr="009446F0">
        <w:rPr>
          <w:sz w:val="24"/>
          <w:szCs w:val="24"/>
        </w:rPr>
        <w:t>Fü</w:t>
      </w:r>
      <w:r w:rsidR="00602773" w:rsidRPr="006C3AAA">
        <w:rPr>
          <w:sz w:val="24"/>
          <w:szCs w:val="24"/>
        </w:rPr>
        <w:t>r</w:t>
      </w:r>
      <w:r w:rsidR="00EC6596" w:rsidRPr="006C3AAA">
        <w:rPr>
          <w:sz w:val="24"/>
          <w:szCs w:val="24"/>
        </w:rPr>
        <w:t xml:space="preserve"> Christus selbst </w:t>
      </w:r>
      <w:r w:rsidR="00602773" w:rsidRPr="006C3AAA">
        <w:rPr>
          <w:sz w:val="24"/>
          <w:szCs w:val="24"/>
        </w:rPr>
        <w:t xml:space="preserve">hat </w:t>
      </w:r>
      <w:r w:rsidR="00EC6596" w:rsidRPr="006C3AAA">
        <w:rPr>
          <w:sz w:val="24"/>
          <w:szCs w:val="24"/>
        </w:rPr>
        <w:t xml:space="preserve">die Hebräische Bibel </w:t>
      </w:r>
      <w:r w:rsidR="00602773" w:rsidRPr="006C3AAA">
        <w:rPr>
          <w:sz w:val="24"/>
          <w:szCs w:val="24"/>
        </w:rPr>
        <w:t xml:space="preserve">als Heilige Schrift </w:t>
      </w:r>
      <w:r w:rsidR="00EC6596" w:rsidRPr="006C3AAA">
        <w:rPr>
          <w:sz w:val="24"/>
          <w:szCs w:val="24"/>
        </w:rPr>
        <w:t>im Leben und im Sterben normative Bedeutung gehabt</w:t>
      </w:r>
      <w:r w:rsidR="00602773" w:rsidRPr="006C3AAA">
        <w:rPr>
          <w:sz w:val="24"/>
          <w:szCs w:val="24"/>
        </w:rPr>
        <w:t>; darum</w:t>
      </w:r>
      <w:r w:rsidR="00EC6596" w:rsidRPr="006C3AAA">
        <w:rPr>
          <w:sz w:val="24"/>
          <w:szCs w:val="24"/>
        </w:rPr>
        <w:t xml:space="preserve"> darf und muss sie auch für die </w:t>
      </w:r>
      <w:proofErr w:type="spellStart"/>
      <w:r w:rsidR="00EC6596" w:rsidRPr="006C3AAA">
        <w:rPr>
          <w:sz w:val="24"/>
          <w:szCs w:val="24"/>
        </w:rPr>
        <w:t>ChristusnachfolgerInnen</w:t>
      </w:r>
      <w:proofErr w:type="spellEnd"/>
      <w:r w:rsidR="00EC6596" w:rsidRPr="006C3AAA">
        <w:rPr>
          <w:sz w:val="24"/>
          <w:szCs w:val="24"/>
        </w:rPr>
        <w:t xml:space="preserve"> </w:t>
      </w:r>
      <w:r w:rsidR="00337B07" w:rsidRPr="006C3AAA">
        <w:rPr>
          <w:sz w:val="24"/>
          <w:szCs w:val="24"/>
        </w:rPr>
        <w:t xml:space="preserve">zu allen Zeiten </w:t>
      </w:r>
      <w:r w:rsidR="00EC6596" w:rsidRPr="006C3AAA">
        <w:rPr>
          <w:sz w:val="24"/>
          <w:szCs w:val="24"/>
        </w:rPr>
        <w:t>Heilige Schrift sein.</w:t>
      </w:r>
      <w:r w:rsidR="000E5375">
        <w:rPr>
          <w:sz w:val="24"/>
          <w:szCs w:val="24"/>
        </w:rPr>
        <w:br/>
      </w:r>
    </w:p>
    <w:p w:rsidR="000E5375" w:rsidRPr="009B496E" w:rsidRDefault="009B496E" w:rsidP="009B496E">
      <w:pPr>
        <w:spacing w:after="120" w:line="264" w:lineRule="auto"/>
        <w:rPr>
          <w:sz w:val="24"/>
          <w:szCs w:val="24"/>
        </w:rPr>
      </w:pPr>
      <w:proofErr w:type="gramStart"/>
      <w:r w:rsidRPr="009B496E">
        <w:rPr>
          <w:sz w:val="24"/>
          <w:szCs w:val="24"/>
        </w:rPr>
        <w:t>1.a</w:t>
      </w:r>
      <w:proofErr w:type="gramEnd"/>
      <w:r w:rsidRPr="009B496E">
        <w:rPr>
          <w:sz w:val="24"/>
          <w:szCs w:val="24"/>
        </w:rPr>
        <w:t xml:space="preserve"> </w:t>
      </w:r>
      <w:r w:rsidR="000E5375" w:rsidRPr="009B496E">
        <w:rPr>
          <w:sz w:val="24"/>
          <w:szCs w:val="24"/>
        </w:rPr>
        <w:t>Mir genügt (ehrlich gesagt) die Tatsache, dass Christus mit einem Text (</w:t>
      </w:r>
      <w:proofErr w:type="spellStart"/>
      <w:r w:rsidR="000E5375" w:rsidRPr="009B496E">
        <w:rPr>
          <w:sz w:val="24"/>
          <w:szCs w:val="24"/>
        </w:rPr>
        <w:t>Tenach</w:t>
      </w:r>
      <w:proofErr w:type="spellEnd"/>
      <w:r w:rsidR="000E5375" w:rsidRPr="009B496E">
        <w:rPr>
          <w:sz w:val="24"/>
          <w:szCs w:val="24"/>
        </w:rPr>
        <w:t xml:space="preserve">) gelebt </w:t>
      </w:r>
      <w:r w:rsidR="00597FFE" w:rsidRPr="009B496E">
        <w:rPr>
          <w:sz w:val="24"/>
          <w:szCs w:val="24"/>
        </w:rPr>
        <w:t xml:space="preserve">und geglaubt </w:t>
      </w:r>
      <w:r w:rsidR="000E5375" w:rsidRPr="009B496E">
        <w:rPr>
          <w:sz w:val="24"/>
          <w:szCs w:val="24"/>
        </w:rPr>
        <w:t xml:space="preserve">hat, mit </w:t>
      </w:r>
      <w:r w:rsidR="005260B1" w:rsidRPr="009B496E">
        <w:rPr>
          <w:sz w:val="24"/>
          <w:szCs w:val="24"/>
        </w:rPr>
        <w:t>ihm</w:t>
      </w:r>
      <w:r w:rsidR="000E5375" w:rsidRPr="009B496E">
        <w:rPr>
          <w:sz w:val="24"/>
          <w:szCs w:val="24"/>
        </w:rPr>
        <w:t xml:space="preserve"> gestorben und auferstanden ist als Kriterium </w:t>
      </w:r>
      <w:r w:rsidR="00A63D49" w:rsidRPr="009B496E">
        <w:rPr>
          <w:sz w:val="24"/>
          <w:szCs w:val="24"/>
        </w:rPr>
        <w:t xml:space="preserve">für </w:t>
      </w:r>
      <w:r w:rsidR="000E5375" w:rsidRPr="009B496E">
        <w:rPr>
          <w:sz w:val="24"/>
          <w:szCs w:val="24"/>
        </w:rPr>
        <w:t xml:space="preserve">seine </w:t>
      </w:r>
      <w:proofErr w:type="spellStart"/>
      <w:r w:rsidR="000E5375" w:rsidRPr="009B496E">
        <w:rPr>
          <w:sz w:val="24"/>
          <w:szCs w:val="24"/>
        </w:rPr>
        <w:t>Kanonizität</w:t>
      </w:r>
      <w:proofErr w:type="spellEnd"/>
      <w:r w:rsidR="000E5375" w:rsidRPr="009B496E">
        <w:rPr>
          <w:sz w:val="24"/>
          <w:szCs w:val="24"/>
        </w:rPr>
        <w:t xml:space="preserve">. </w:t>
      </w:r>
    </w:p>
    <w:p w:rsidR="00817325" w:rsidRPr="009B496E" w:rsidRDefault="009B496E" w:rsidP="009B496E">
      <w:pPr>
        <w:spacing w:after="120" w:line="264" w:lineRule="auto"/>
        <w:rPr>
          <w:sz w:val="24"/>
          <w:szCs w:val="24"/>
        </w:rPr>
      </w:pPr>
      <w:r w:rsidRPr="009B496E">
        <w:rPr>
          <w:sz w:val="24"/>
          <w:szCs w:val="24"/>
        </w:rPr>
        <w:t xml:space="preserve">1.b </w:t>
      </w:r>
      <w:r w:rsidR="000E5375" w:rsidRPr="009B496E">
        <w:rPr>
          <w:sz w:val="24"/>
          <w:szCs w:val="24"/>
        </w:rPr>
        <w:t xml:space="preserve">Die hier verhandelte Thematik geht deutlich hinaus über die Fragen der Bibelexegeten oder </w:t>
      </w:r>
      <w:proofErr w:type="spellStart"/>
      <w:r w:rsidR="000E5375" w:rsidRPr="009B496E">
        <w:rPr>
          <w:sz w:val="24"/>
          <w:szCs w:val="24"/>
        </w:rPr>
        <w:t>Kanons</w:t>
      </w:r>
      <w:r w:rsidRPr="009B496E">
        <w:rPr>
          <w:sz w:val="24"/>
          <w:szCs w:val="24"/>
        </w:rPr>
        <w:t>historiker</w:t>
      </w:r>
      <w:proofErr w:type="spellEnd"/>
      <w:r w:rsidR="000E5375" w:rsidRPr="009B496E">
        <w:rPr>
          <w:sz w:val="24"/>
          <w:szCs w:val="24"/>
        </w:rPr>
        <w:t xml:space="preserve"> – es geht letztlich um die Debatte </w:t>
      </w:r>
      <w:r w:rsidR="00817325" w:rsidRPr="009B496E">
        <w:rPr>
          <w:sz w:val="24"/>
          <w:szCs w:val="24"/>
        </w:rPr>
        <w:t xml:space="preserve">über </w:t>
      </w:r>
      <w:r w:rsidR="00817325" w:rsidRPr="009B496E">
        <w:rPr>
          <w:i/>
          <w:sz w:val="24"/>
          <w:szCs w:val="24"/>
        </w:rPr>
        <w:t>christliche Identität,</w:t>
      </w:r>
      <w:r w:rsidR="00817325" w:rsidRPr="009B496E">
        <w:rPr>
          <w:sz w:val="24"/>
          <w:szCs w:val="24"/>
        </w:rPr>
        <w:t xml:space="preserve"> </w:t>
      </w:r>
      <w:r w:rsidR="000E5375" w:rsidRPr="009B496E">
        <w:rPr>
          <w:sz w:val="24"/>
          <w:szCs w:val="24"/>
        </w:rPr>
        <w:t>über das Verhältnis des verkündigenden Jesus zum verkündigten Christus, über das Verh</w:t>
      </w:r>
      <w:r w:rsidR="00AA1A3E" w:rsidRPr="009B496E">
        <w:rPr>
          <w:sz w:val="24"/>
          <w:szCs w:val="24"/>
        </w:rPr>
        <w:t>ä</w:t>
      </w:r>
      <w:r w:rsidR="000E5375" w:rsidRPr="009B496E">
        <w:rPr>
          <w:sz w:val="24"/>
          <w:szCs w:val="24"/>
        </w:rPr>
        <w:t xml:space="preserve">ltnis einer </w:t>
      </w:r>
      <w:proofErr w:type="spellStart"/>
      <w:r w:rsidR="000E5375" w:rsidRPr="009B496E">
        <w:rPr>
          <w:sz w:val="24"/>
          <w:szCs w:val="24"/>
        </w:rPr>
        <w:t>Jesuologie</w:t>
      </w:r>
      <w:proofErr w:type="spellEnd"/>
      <w:r w:rsidR="000E5375" w:rsidRPr="009B496E">
        <w:rPr>
          <w:sz w:val="24"/>
          <w:szCs w:val="24"/>
        </w:rPr>
        <w:t xml:space="preserve"> zur Christologie, einer Christologie von unten bzw. von oben. Hier sind fundamentale theologische Entscheidungen impliziert: Für mich gehört Jesus von Nazareth nicht wie bei Bultmann zu den Voraussetzungen und Vorstufen der christlichen Verkündigung, sondern zu ihre</w:t>
      </w:r>
      <w:r w:rsidR="008A280F" w:rsidRPr="009B496E">
        <w:rPr>
          <w:sz w:val="24"/>
          <w:szCs w:val="24"/>
        </w:rPr>
        <w:t>m</w:t>
      </w:r>
      <w:r w:rsidR="000E5375" w:rsidRPr="009B496E">
        <w:rPr>
          <w:sz w:val="24"/>
          <w:szCs w:val="24"/>
        </w:rPr>
        <w:t xml:space="preserve"> Wesenskern dazu.</w:t>
      </w:r>
      <w:r w:rsidR="008A280F" w:rsidRPr="009B496E">
        <w:rPr>
          <w:sz w:val="24"/>
          <w:szCs w:val="24"/>
        </w:rPr>
        <w:t xml:space="preserve"> </w:t>
      </w:r>
    </w:p>
    <w:p w:rsidR="000E5375" w:rsidRPr="009B496E" w:rsidRDefault="008A280F" w:rsidP="009B496E">
      <w:pPr>
        <w:spacing w:after="120" w:line="264" w:lineRule="auto"/>
        <w:rPr>
          <w:sz w:val="24"/>
          <w:szCs w:val="24"/>
        </w:rPr>
      </w:pPr>
      <w:r w:rsidRPr="009B496E">
        <w:rPr>
          <w:sz w:val="24"/>
          <w:szCs w:val="24"/>
        </w:rPr>
        <w:t>„Das Wort ward Fleisch“, nicht e</w:t>
      </w:r>
      <w:r w:rsidR="009B496E" w:rsidRPr="009B496E">
        <w:rPr>
          <w:sz w:val="24"/>
          <w:szCs w:val="24"/>
        </w:rPr>
        <w:t>infach „nur“ abstrakt „Kerygma“:</w:t>
      </w:r>
      <w:r w:rsidRPr="009B496E">
        <w:rPr>
          <w:sz w:val="24"/>
          <w:szCs w:val="24"/>
        </w:rPr>
        <w:t xml:space="preserve"> Wenn Jesus sich in die Welt der </w:t>
      </w:r>
      <w:proofErr w:type="spellStart"/>
      <w:r w:rsidRPr="009B496E">
        <w:rPr>
          <w:sz w:val="24"/>
          <w:szCs w:val="24"/>
        </w:rPr>
        <w:t>Hebräischen</w:t>
      </w:r>
      <w:proofErr w:type="spellEnd"/>
      <w:r w:rsidRPr="009B496E">
        <w:rPr>
          <w:sz w:val="24"/>
          <w:szCs w:val="24"/>
        </w:rPr>
        <w:t xml:space="preserve"> Bibel hinein hat inkarnieren lassen, dürfen wir ihn nicht per </w:t>
      </w:r>
      <w:proofErr w:type="spellStart"/>
      <w:r w:rsidRPr="009B496E">
        <w:rPr>
          <w:sz w:val="24"/>
          <w:szCs w:val="24"/>
        </w:rPr>
        <w:t>kanonstheologischer</w:t>
      </w:r>
      <w:proofErr w:type="spellEnd"/>
      <w:r w:rsidRPr="009B496E">
        <w:rPr>
          <w:sz w:val="24"/>
          <w:szCs w:val="24"/>
        </w:rPr>
        <w:t xml:space="preserve"> Entscheidung </w:t>
      </w:r>
      <w:r w:rsidR="00AA1A3E" w:rsidRPr="009B496E">
        <w:rPr>
          <w:sz w:val="24"/>
          <w:szCs w:val="24"/>
        </w:rPr>
        <w:t>soz. „</w:t>
      </w:r>
      <w:proofErr w:type="spellStart"/>
      <w:r w:rsidR="00AA1A3E" w:rsidRPr="009B496E">
        <w:rPr>
          <w:sz w:val="24"/>
          <w:szCs w:val="24"/>
        </w:rPr>
        <w:t>entleiblichen</w:t>
      </w:r>
      <w:proofErr w:type="spellEnd"/>
      <w:r w:rsidR="00AA1A3E" w:rsidRPr="009B496E">
        <w:rPr>
          <w:sz w:val="24"/>
          <w:szCs w:val="24"/>
        </w:rPr>
        <w:t xml:space="preserve">“ und ihn </w:t>
      </w:r>
      <w:r w:rsidRPr="009B496E">
        <w:rPr>
          <w:sz w:val="24"/>
          <w:szCs w:val="24"/>
        </w:rPr>
        <w:t>heimatlos machen.</w:t>
      </w:r>
    </w:p>
    <w:p w:rsidR="00EC6596" w:rsidRPr="000E5375" w:rsidRDefault="00EC6596" w:rsidP="009B496E">
      <w:pPr>
        <w:spacing w:after="120" w:line="264" w:lineRule="auto"/>
        <w:rPr>
          <w:sz w:val="20"/>
          <w:szCs w:val="20"/>
        </w:rPr>
      </w:pPr>
    </w:p>
    <w:p w:rsidR="00597FFE" w:rsidRDefault="00337B07" w:rsidP="009B496E">
      <w:pPr>
        <w:spacing w:after="120" w:line="264" w:lineRule="auto"/>
        <w:rPr>
          <w:sz w:val="24"/>
          <w:szCs w:val="24"/>
        </w:rPr>
      </w:pPr>
      <w:r w:rsidRPr="00400794">
        <w:rPr>
          <w:sz w:val="24"/>
          <w:szCs w:val="24"/>
        </w:rPr>
        <w:t xml:space="preserve">2. </w:t>
      </w:r>
      <w:r w:rsidR="00602773" w:rsidRPr="00400794">
        <w:rPr>
          <w:sz w:val="24"/>
          <w:szCs w:val="24"/>
        </w:rPr>
        <w:t>D</w:t>
      </w:r>
      <w:r w:rsidR="00EC6596" w:rsidRPr="00400794">
        <w:rPr>
          <w:sz w:val="24"/>
          <w:szCs w:val="24"/>
        </w:rPr>
        <w:t xml:space="preserve">ie ersten </w:t>
      </w:r>
      <w:proofErr w:type="spellStart"/>
      <w:r w:rsidR="00EC6596" w:rsidRPr="00400794">
        <w:rPr>
          <w:sz w:val="24"/>
          <w:szCs w:val="24"/>
        </w:rPr>
        <w:t>Christuszeug</w:t>
      </w:r>
      <w:r w:rsidR="009F2231">
        <w:rPr>
          <w:sz w:val="24"/>
          <w:szCs w:val="24"/>
        </w:rPr>
        <w:t>Inn</w:t>
      </w:r>
      <w:r w:rsidR="00EC6596" w:rsidRPr="00400794">
        <w:rPr>
          <w:sz w:val="24"/>
          <w:szCs w:val="24"/>
        </w:rPr>
        <w:t>en</w:t>
      </w:r>
      <w:proofErr w:type="spellEnd"/>
      <w:r w:rsidR="00EC6596" w:rsidRPr="00400794">
        <w:rPr>
          <w:sz w:val="24"/>
          <w:szCs w:val="24"/>
        </w:rPr>
        <w:t xml:space="preserve"> </w:t>
      </w:r>
      <w:r w:rsidR="00602773" w:rsidRPr="00400794">
        <w:rPr>
          <w:sz w:val="24"/>
          <w:szCs w:val="24"/>
        </w:rPr>
        <w:t xml:space="preserve">haben </w:t>
      </w:r>
      <w:r w:rsidR="00EC6596" w:rsidRPr="00400794">
        <w:rPr>
          <w:sz w:val="24"/>
          <w:szCs w:val="24"/>
        </w:rPr>
        <w:t xml:space="preserve">Person und Werk ihres Meisters entscheidend in den Kategorien der </w:t>
      </w:r>
      <w:proofErr w:type="spellStart"/>
      <w:r w:rsidR="00EC6596" w:rsidRPr="00400794">
        <w:rPr>
          <w:sz w:val="24"/>
          <w:szCs w:val="24"/>
        </w:rPr>
        <w:t>Hebräischen</w:t>
      </w:r>
      <w:proofErr w:type="spellEnd"/>
      <w:r w:rsidR="00EC6596" w:rsidRPr="00400794">
        <w:rPr>
          <w:sz w:val="24"/>
          <w:szCs w:val="24"/>
        </w:rPr>
        <w:t xml:space="preserve"> Bibel </w:t>
      </w:r>
      <w:r w:rsidR="009F2231">
        <w:rPr>
          <w:sz w:val="24"/>
          <w:szCs w:val="24"/>
        </w:rPr>
        <w:t>– ob in hebräischer</w:t>
      </w:r>
      <w:r w:rsidR="009B496E">
        <w:rPr>
          <w:sz w:val="24"/>
          <w:szCs w:val="24"/>
        </w:rPr>
        <w:t>, aramäischer</w:t>
      </w:r>
      <w:r w:rsidR="009F2231">
        <w:rPr>
          <w:sz w:val="24"/>
          <w:szCs w:val="24"/>
        </w:rPr>
        <w:t xml:space="preserve"> oder griechischer Gestalt - </w:t>
      </w:r>
      <w:r w:rsidR="00EC6596" w:rsidRPr="00400794">
        <w:rPr>
          <w:sz w:val="24"/>
          <w:szCs w:val="24"/>
        </w:rPr>
        <w:t>beschrieben</w:t>
      </w:r>
      <w:r w:rsidR="00602773" w:rsidRPr="00400794">
        <w:rPr>
          <w:sz w:val="24"/>
          <w:szCs w:val="24"/>
        </w:rPr>
        <w:t>;</w:t>
      </w:r>
      <w:r w:rsidR="00EC6596" w:rsidRPr="00400794">
        <w:rPr>
          <w:sz w:val="24"/>
          <w:szCs w:val="24"/>
        </w:rPr>
        <w:t xml:space="preserve"> </w:t>
      </w:r>
      <w:r w:rsidR="00602773" w:rsidRPr="00400794">
        <w:rPr>
          <w:sz w:val="24"/>
          <w:szCs w:val="24"/>
        </w:rPr>
        <w:t xml:space="preserve">darum </w:t>
      </w:r>
      <w:r w:rsidR="00EC6596" w:rsidRPr="00400794">
        <w:rPr>
          <w:sz w:val="24"/>
          <w:szCs w:val="24"/>
        </w:rPr>
        <w:t xml:space="preserve">darf und muss sie für die Kirche </w:t>
      </w:r>
      <w:r w:rsidR="00400794">
        <w:rPr>
          <w:sz w:val="24"/>
          <w:szCs w:val="24"/>
        </w:rPr>
        <w:t xml:space="preserve">und ihre Verkündigung </w:t>
      </w:r>
      <w:r w:rsidR="00EC6596" w:rsidRPr="00400794">
        <w:rPr>
          <w:sz w:val="24"/>
          <w:szCs w:val="24"/>
        </w:rPr>
        <w:t xml:space="preserve">Heilige Schrift </w:t>
      </w:r>
      <w:r w:rsidR="00400794">
        <w:rPr>
          <w:sz w:val="24"/>
          <w:szCs w:val="24"/>
        </w:rPr>
        <w:t>bleiben</w:t>
      </w:r>
      <w:r w:rsidR="00EC6596" w:rsidRPr="00400794">
        <w:rPr>
          <w:sz w:val="24"/>
          <w:szCs w:val="24"/>
        </w:rPr>
        <w:t>.</w:t>
      </w:r>
      <w:r w:rsidR="005260B1">
        <w:rPr>
          <w:sz w:val="24"/>
          <w:szCs w:val="24"/>
        </w:rPr>
        <w:br/>
      </w:r>
      <w:r w:rsidR="005260B1">
        <w:rPr>
          <w:sz w:val="24"/>
          <w:szCs w:val="24"/>
        </w:rPr>
        <w:br/>
      </w:r>
      <w:proofErr w:type="gramStart"/>
      <w:r w:rsidR="009B496E">
        <w:rPr>
          <w:sz w:val="24"/>
          <w:szCs w:val="24"/>
        </w:rPr>
        <w:t>2.a</w:t>
      </w:r>
      <w:proofErr w:type="gramEnd"/>
      <w:r w:rsidR="009B496E">
        <w:rPr>
          <w:sz w:val="24"/>
          <w:szCs w:val="24"/>
        </w:rPr>
        <w:t xml:space="preserve"> </w:t>
      </w:r>
      <w:r w:rsidR="005260B1">
        <w:rPr>
          <w:sz w:val="24"/>
          <w:szCs w:val="24"/>
        </w:rPr>
        <w:t>Was „nach den Schriften“ geschehen ist (1 Kor 15), braucht neben und mit sich gleichursprünglich jene Schriften um erzählen zu können, was geschehen ist. Das Geschehene finde</w:t>
      </w:r>
      <w:r w:rsidR="00AA1A3E">
        <w:rPr>
          <w:sz w:val="24"/>
          <w:szCs w:val="24"/>
        </w:rPr>
        <w:t>t überhaupt nur Sprache in jenen</w:t>
      </w:r>
      <w:r w:rsidR="005260B1">
        <w:rPr>
          <w:sz w:val="24"/>
          <w:szCs w:val="24"/>
        </w:rPr>
        <w:t xml:space="preserve"> Schriften. Die</w:t>
      </w:r>
      <w:r w:rsidR="009B496E">
        <w:rPr>
          <w:sz w:val="24"/>
          <w:szCs w:val="24"/>
        </w:rPr>
        <w:t>se</w:t>
      </w:r>
      <w:r w:rsidR="005260B1">
        <w:rPr>
          <w:sz w:val="24"/>
          <w:szCs w:val="24"/>
        </w:rPr>
        <w:t xml:space="preserve"> bewegen sich dann im Blick auf das zu Erzählende nicht im Feld de</w:t>
      </w:r>
      <w:r w:rsidR="009B496E">
        <w:rPr>
          <w:sz w:val="24"/>
          <w:szCs w:val="24"/>
        </w:rPr>
        <w:t>s</w:t>
      </w:r>
      <w:r w:rsidR="005260B1">
        <w:rPr>
          <w:sz w:val="24"/>
          <w:szCs w:val="24"/>
        </w:rPr>
        <w:t xml:space="preserve"> </w:t>
      </w:r>
      <w:proofErr w:type="spellStart"/>
      <w:r w:rsidR="005260B1">
        <w:rPr>
          <w:sz w:val="24"/>
          <w:szCs w:val="24"/>
        </w:rPr>
        <w:t>Uneigentlich</w:t>
      </w:r>
      <w:r w:rsidR="009B496E">
        <w:rPr>
          <w:sz w:val="24"/>
          <w:szCs w:val="24"/>
        </w:rPr>
        <w:t>en</w:t>
      </w:r>
      <w:r w:rsidR="005260B1">
        <w:rPr>
          <w:sz w:val="24"/>
          <w:szCs w:val="24"/>
        </w:rPr>
        <w:t>t</w:t>
      </w:r>
      <w:proofErr w:type="spellEnd"/>
      <w:r w:rsidR="005260B1">
        <w:rPr>
          <w:sz w:val="24"/>
          <w:szCs w:val="24"/>
        </w:rPr>
        <w:t>, de</w:t>
      </w:r>
      <w:r w:rsidR="009B496E">
        <w:rPr>
          <w:sz w:val="24"/>
          <w:szCs w:val="24"/>
        </w:rPr>
        <w:t>s</w:t>
      </w:r>
      <w:r w:rsidR="005260B1">
        <w:rPr>
          <w:sz w:val="24"/>
          <w:szCs w:val="24"/>
        </w:rPr>
        <w:t xml:space="preserve"> Vorläufig</w:t>
      </w:r>
      <w:r w:rsidR="009B496E">
        <w:rPr>
          <w:sz w:val="24"/>
          <w:szCs w:val="24"/>
        </w:rPr>
        <w:t>en</w:t>
      </w:r>
      <w:r w:rsidR="005260B1">
        <w:rPr>
          <w:sz w:val="24"/>
          <w:szCs w:val="24"/>
        </w:rPr>
        <w:t>, sondern gehören zur Sache selbst – und damit ohne Wenn und Aber zur Bibel. Die Sprachregelung ist ja wohl Konsens: Was „apokryph“ oder „</w:t>
      </w:r>
      <w:proofErr w:type="spellStart"/>
      <w:r w:rsidR="005260B1">
        <w:rPr>
          <w:sz w:val="24"/>
          <w:szCs w:val="24"/>
        </w:rPr>
        <w:t>deuteronkanonisch</w:t>
      </w:r>
      <w:proofErr w:type="spellEnd"/>
      <w:r w:rsidR="005260B1">
        <w:rPr>
          <w:sz w:val="24"/>
          <w:szCs w:val="24"/>
        </w:rPr>
        <w:t xml:space="preserve">“ sein soll, gehört  nicht zur Bibel. Hier scheint mir </w:t>
      </w:r>
      <w:proofErr w:type="spellStart"/>
      <w:r w:rsidR="005260B1">
        <w:rPr>
          <w:sz w:val="24"/>
          <w:szCs w:val="24"/>
        </w:rPr>
        <w:t>Slenczka</w:t>
      </w:r>
      <w:proofErr w:type="spellEnd"/>
      <w:r w:rsidR="005260B1">
        <w:rPr>
          <w:sz w:val="24"/>
          <w:szCs w:val="24"/>
        </w:rPr>
        <w:t xml:space="preserve"> mit seiner Beteuerung ein </w:t>
      </w:r>
      <w:r w:rsidR="009B496E">
        <w:rPr>
          <w:sz w:val="24"/>
          <w:szCs w:val="24"/>
        </w:rPr>
        <w:t>wenig</w:t>
      </w:r>
      <w:r w:rsidR="005260B1">
        <w:rPr>
          <w:sz w:val="24"/>
          <w:szCs w:val="24"/>
        </w:rPr>
        <w:t xml:space="preserve"> „Angst v</w:t>
      </w:r>
      <w:r w:rsidR="00AA1A3E">
        <w:rPr>
          <w:sz w:val="24"/>
          <w:szCs w:val="24"/>
        </w:rPr>
        <w:t xml:space="preserve">or der eigenen Courage“ </w:t>
      </w:r>
      <w:r w:rsidR="005260B1">
        <w:rPr>
          <w:sz w:val="24"/>
          <w:szCs w:val="24"/>
        </w:rPr>
        <w:t xml:space="preserve"> zu haben. Nichtkanonisch heißt nichtbiblisch. Punkt.</w:t>
      </w:r>
    </w:p>
    <w:p w:rsidR="009B496E" w:rsidRDefault="00337B07" w:rsidP="009B496E">
      <w:pPr>
        <w:spacing w:after="120" w:line="264" w:lineRule="auto"/>
        <w:rPr>
          <w:sz w:val="24"/>
          <w:szCs w:val="24"/>
        </w:rPr>
      </w:pPr>
      <w:r w:rsidRPr="00400794">
        <w:rPr>
          <w:sz w:val="24"/>
          <w:szCs w:val="24"/>
        </w:rPr>
        <w:t xml:space="preserve">3. </w:t>
      </w:r>
      <w:r w:rsidR="00EC6596" w:rsidRPr="00400794">
        <w:rPr>
          <w:sz w:val="24"/>
          <w:szCs w:val="24"/>
        </w:rPr>
        <w:t xml:space="preserve">Christus </w:t>
      </w:r>
      <w:r w:rsidR="00602773" w:rsidRPr="00400794">
        <w:rPr>
          <w:sz w:val="24"/>
          <w:szCs w:val="24"/>
        </w:rPr>
        <w:t xml:space="preserve">ist </w:t>
      </w:r>
      <w:r w:rsidR="00EC6596" w:rsidRPr="00400794">
        <w:rPr>
          <w:sz w:val="24"/>
          <w:szCs w:val="24"/>
        </w:rPr>
        <w:t xml:space="preserve">das </w:t>
      </w:r>
      <w:r w:rsidR="006C3AAA">
        <w:rPr>
          <w:sz w:val="24"/>
          <w:szCs w:val="24"/>
        </w:rPr>
        <w:t>„</w:t>
      </w:r>
      <w:r w:rsidR="00EC6596" w:rsidRPr="00400794">
        <w:rPr>
          <w:sz w:val="24"/>
          <w:szCs w:val="24"/>
        </w:rPr>
        <w:t>Ja</w:t>
      </w:r>
      <w:r w:rsidR="006C3AAA">
        <w:rPr>
          <w:sz w:val="24"/>
          <w:szCs w:val="24"/>
        </w:rPr>
        <w:t xml:space="preserve">“ auf alle </w:t>
      </w:r>
      <w:r w:rsidR="00C42747">
        <w:rPr>
          <w:sz w:val="24"/>
          <w:szCs w:val="24"/>
        </w:rPr>
        <w:t>V</w:t>
      </w:r>
      <w:r w:rsidR="00EC6596" w:rsidRPr="00400794">
        <w:rPr>
          <w:sz w:val="24"/>
          <w:szCs w:val="24"/>
        </w:rPr>
        <w:t xml:space="preserve">erheißungen </w:t>
      </w:r>
      <w:r w:rsidR="00C42747">
        <w:rPr>
          <w:sz w:val="24"/>
          <w:szCs w:val="24"/>
        </w:rPr>
        <w:t xml:space="preserve">der Schrift </w:t>
      </w:r>
      <w:r w:rsidR="00EC6596" w:rsidRPr="00400794">
        <w:rPr>
          <w:sz w:val="24"/>
          <w:szCs w:val="24"/>
        </w:rPr>
        <w:t xml:space="preserve">(2. Kor </w:t>
      </w:r>
      <w:r w:rsidR="004B1001">
        <w:rPr>
          <w:sz w:val="24"/>
          <w:szCs w:val="24"/>
        </w:rPr>
        <w:t>1,20</w:t>
      </w:r>
      <w:r w:rsidR="00EC6596" w:rsidRPr="00400794">
        <w:rPr>
          <w:sz w:val="24"/>
          <w:szCs w:val="24"/>
        </w:rPr>
        <w:t>)</w:t>
      </w:r>
      <w:r w:rsidR="00602773" w:rsidRPr="00400794">
        <w:rPr>
          <w:sz w:val="24"/>
          <w:szCs w:val="24"/>
        </w:rPr>
        <w:t>;</w:t>
      </w:r>
      <w:r w:rsidR="00EC6596" w:rsidRPr="00400794">
        <w:rPr>
          <w:sz w:val="24"/>
          <w:szCs w:val="24"/>
        </w:rPr>
        <w:t xml:space="preserve"> </w:t>
      </w:r>
      <w:r w:rsidR="00602773" w:rsidRPr="00400794">
        <w:rPr>
          <w:sz w:val="24"/>
          <w:szCs w:val="24"/>
        </w:rPr>
        <w:t>dar</w:t>
      </w:r>
      <w:r w:rsidR="00F24DFE" w:rsidRPr="00400794">
        <w:rPr>
          <w:sz w:val="24"/>
          <w:szCs w:val="24"/>
        </w:rPr>
        <w:t>in</w:t>
      </w:r>
      <w:r w:rsidRPr="00400794">
        <w:rPr>
          <w:sz w:val="24"/>
          <w:szCs w:val="24"/>
        </w:rPr>
        <w:t xml:space="preserve"> liegt </w:t>
      </w:r>
      <w:r w:rsidR="00446869">
        <w:rPr>
          <w:sz w:val="24"/>
          <w:szCs w:val="24"/>
        </w:rPr>
        <w:t xml:space="preserve">auch </w:t>
      </w:r>
      <w:r w:rsidRPr="00400794">
        <w:rPr>
          <w:sz w:val="24"/>
          <w:szCs w:val="24"/>
        </w:rPr>
        <w:t>die Bekräftigung</w:t>
      </w:r>
      <w:r w:rsidR="00EC6596" w:rsidRPr="00400794">
        <w:rPr>
          <w:sz w:val="24"/>
          <w:szCs w:val="24"/>
        </w:rPr>
        <w:t xml:space="preserve"> </w:t>
      </w:r>
      <w:r w:rsidR="00C42747">
        <w:rPr>
          <w:sz w:val="24"/>
          <w:szCs w:val="24"/>
        </w:rPr>
        <w:t>ihres</w:t>
      </w:r>
      <w:r w:rsidR="006C3AAA">
        <w:rPr>
          <w:sz w:val="24"/>
          <w:szCs w:val="24"/>
        </w:rPr>
        <w:t xml:space="preserve"> </w:t>
      </w:r>
      <w:r w:rsidR="00EC6596" w:rsidRPr="00400794">
        <w:rPr>
          <w:sz w:val="24"/>
          <w:szCs w:val="24"/>
        </w:rPr>
        <w:t>normative</w:t>
      </w:r>
      <w:r w:rsidRPr="00400794">
        <w:rPr>
          <w:sz w:val="24"/>
          <w:szCs w:val="24"/>
        </w:rPr>
        <w:t>n</w:t>
      </w:r>
      <w:r w:rsidR="00EC6596" w:rsidRPr="00400794">
        <w:rPr>
          <w:sz w:val="24"/>
          <w:szCs w:val="24"/>
        </w:rPr>
        <w:t xml:space="preserve"> Rang</w:t>
      </w:r>
      <w:r w:rsidRPr="00400794">
        <w:rPr>
          <w:sz w:val="24"/>
          <w:szCs w:val="24"/>
        </w:rPr>
        <w:t>es</w:t>
      </w:r>
      <w:r w:rsidR="00EC6596" w:rsidRPr="00400794">
        <w:rPr>
          <w:sz w:val="24"/>
          <w:szCs w:val="24"/>
        </w:rPr>
        <w:t xml:space="preserve"> für die Kirche. </w:t>
      </w:r>
      <w:r w:rsidR="009B496E">
        <w:rPr>
          <w:sz w:val="24"/>
          <w:szCs w:val="24"/>
        </w:rPr>
        <w:br/>
      </w:r>
      <w:r w:rsidR="009B496E">
        <w:rPr>
          <w:sz w:val="24"/>
          <w:szCs w:val="24"/>
        </w:rPr>
        <w:br/>
      </w:r>
      <w:proofErr w:type="gramStart"/>
      <w:r w:rsidR="009B496E">
        <w:rPr>
          <w:sz w:val="24"/>
          <w:szCs w:val="24"/>
        </w:rPr>
        <w:lastRenderedPageBreak/>
        <w:t>3.a</w:t>
      </w:r>
      <w:proofErr w:type="gramEnd"/>
      <w:r w:rsidR="009B496E">
        <w:rPr>
          <w:sz w:val="24"/>
          <w:szCs w:val="24"/>
        </w:rPr>
        <w:t xml:space="preserve"> </w:t>
      </w:r>
      <w:r w:rsidR="005260B1">
        <w:rPr>
          <w:sz w:val="24"/>
          <w:szCs w:val="24"/>
        </w:rPr>
        <w:t xml:space="preserve">Das </w:t>
      </w:r>
      <w:r w:rsidR="00597FFE">
        <w:rPr>
          <w:sz w:val="24"/>
          <w:szCs w:val="24"/>
        </w:rPr>
        <w:t>„</w:t>
      </w:r>
      <w:r w:rsidR="005260B1">
        <w:rPr>
          <w:sz w:val="24"/>
          <w:szCs w:val="24"/>
        </w:rPr>
        <w:t>Ja</w:t>
      </w:r>
      <w:r w:rsidR="00597FFE">
        <w:rPr>
          <w:sz w:val="24"/>
          <w:szCs w:val="24"/>
        </w:rPr>
        <w:t>“</w:t>
      </w:r>
      <w:r w:rsidR="005260B1">
        <w:rPr>
          <w:sz w:val="24"/>
          <w:szCs w:val="24"/>
        </w:rPr>
        <w:t xml:space="preserve"> auf die Schrift </w:t>
      </w:r>
      <w:r w:rsidR="007B69CF">
        <w:rPr>
          <w:sz w:val="24"/>
          <w:szCs w:val="24"/>
        </w:rPr>
        <w:t>„</w:t>
      </w:r>
      <w:r w:rsidR="00597FFE">
        <w:rPr>
          <w:sz w:val="24"/>
          <w:szCs w:val="24"/>
        </w:rPr>
        <w:t xml:space="preserve">in </w:t>
      </w:r>
      <w:r w:rsidR="009B496E">
        <w:rPr>
          <w:sz w:val="24"/>
          <w:szCs w:val="24"/>
        </w:rPr>
        <w:t>ihm</w:t>
      </w:r>
      <w:r w:rsidR="007B69CF">
        <w:rPr>
          <w:sz w:val="24"/>
          <w:szCs w:val="24"/>
        </w:rPr>
        <w:t>“</w:t>
      </w:r>
      <w:r w:rsidR="00597FFE">
        <w:rPr>
          <w:sz w:val="24"/>
          <w:szCs w:val="24"/>
        </w:rPr>
        <w:t xml:space="preserve"> </w:t>
      </w:r>
      <w:r w:rsidR="005260B1">
        <w:rPr>
          <w:sz w:val="24"/>
          <w:szCs w:val="24"/>
        </w:rPr>
        <w:t xml:space="preserve">hält die </w:t>
      </w:r>
      <w:r w:rsidR="00597FFE">
        <w:rPr>
          <w:sz w:val="24"/>
          <w:szCs w:val="24"/>
        </w:rPr>
        <w:t xml:space="preserve">Schrift in Geltung für all diejenigen, die </w:t>
      </w:r>
      <w:r w:rsidR="007B69CF">
        <w:rPr>
          <w:sz w:val="24"/>
          <w:szCs w:val="24"/>
        </w:rPr>
        <w:t>„</w:t>
      </w:r>
      <w:r w:rsidR="00597FFE">
        <w:rPr>
          <w:sz w:val="24"/>
          <w:szCs w:val="24"/>
        </w:rPr>
        <w:t>in Christus</w:t>
      </w:r>
      <w:r w:rsidR="009B496E">
        <w:rPr>
          <w:sz w:val="24"/>
          <w:szCs w:val="24"/>
        </w:rPr>
        <w:t xml:space="preserve">“ (en </w:t>
      </w:r>
      <w:proofErr w:type="spellStart"/>
      <w:r w:rsidR="009B496E">
        <w:rPr>
          <w:sz w:val="24"/>
          <w:szCs w:val="24"/>
        </w:rPr>
        <w:t>Ch</w:t>
      </w:r>
      <w:r w:rsidR="007B69CF">
        <w:rPr>
          <w:sz w:val="24"/>
          <w:szCs w:val="24"/>
        </w:rPr>
        <w:t>ristó</w:t>
      </w:r>
      <w:proofErr w:type="spellEnd"/>
      <w:r w:rsidR="007B69CF">
        <w:rPr>
          <w:sz w:val="24"/>
          <w:szCs w:val="24"/>
        </w:rPr>
        <w:t>)</w:t>
      </w:r>
      <w:r w:rsidR="00597FFE">
        <w:rPr>
          <w:sz w:val="24"/>
          <w:szCs w:val="24"/>
        </w:rPr>
        <w:t xml:space="preserve"> sind. </w:t>
      </w:r>
      <w:r w:rsidR="007B69CF">
        <w:rPr>
          <w:sz w:val="24"/>
          <w:szCs w:val="24"/>
        </w:rPr>
        <w:t xml:space="preserve">Christus ist der Mittler auch meiner christlichen Existenz mit der </w:t>
      </w:r>
      <w:proofErr w:type="spellStart"/>
      <w:r w:rsidR="007B69CF">
        <w:rPr>
          <w:sz w:val="24"/>
          <w:szCs w:val="24"/>
        </w:rPr>
        <w:t>Hebräischen</w:t>
      </w:r>
      <w:proofErr w:type="spellEnd"/>
      <w:r w:rsidR="007B69CF">
        <w:rPr>
          <w:sz w:val="24"/>
          <w:szCs w:val="24"/>
        </w:rPr>
        <w:t xml:space="preserve"> Bibel.</w:t>
      </w:r>
    </w:p>
    <w:p w:rsidR="00597FFE" w:rsidRDefault="007B69CF" w:rsidP="00CC7510">
      <w:pPr>
        <w:spacing w:after="120" w:line="264" w:lineRule="auto"/>
        <w:rPr>
          <w:sz w:val="24"/>
          <w:szCs w:val="24"/>
        </w:rPr>
      </w:pPr>
      <w:r>
        <w:rPr>
          <w:sz w:val="24"/>
          <w:szCs w:val="24"/>
        </w:rPr>
        <w:t xml:space="preserve"> </w:t>
      </w:r>
      <w:proofErr w:type="gramStart"/>
      <w:r w:rsidR="009B496E">
        <w:rPr>
          <w:sz w:val="24"/>
          <w:szCs w:val="24"/>
        </w:rPr>
        <w:t>3.b</w:t>
      </w:r>
      <w:proofErr w:type="gramEnd"/>
      <w:r w:rsidR="009B496E">
        <w:rPr>
          <w:sz w:val="24"/>
          <w:szCs w:val="24"/>
        </w:rPr>
        <w:t xml:space="preserve"> Wohlgemerkt: </w:t>
      </w:r>
      <w:r w:rsidR="00597FFE">
        <w:rPr>
          <w:sz w:val="24"/>
          <w:szCs w:val="24"/>
        </w:rPr>
        <w:t xml:space="preserve">Das „Ja“ bei Paulus vermeidet „Erfüllungsterminologie“! </w:t>
      </w:r>
      <w:proofErr w:type="spellStart"/>
      <w:r w:rsidR="00597FFE">
        <w:rPr>
          <w:sz w:val="24"/>
          <w:szCs w:val="24"/>
        </w:rPr>
        <w:t>pleróo</w:t>
      </w:r>
      <w:proofErr w:type="spellEnd"/>
      <w:r w:rsidR="00597FFE">
        <w:rPr>
          <w:sz w:val="24"/>
          <w:szCs w:val="24"/>
        </w:rPr>
        <w:t xml:space="preserve"> bezieht sich bei Paulus an </w:t>
      </w:r>
      <w:r w:rsidR="00201FAB">
        <w:rPr>
          <w:sz w:val="24"/>
          <w:szCs w:val="24"/>
        </w:rPr>
        <w:t>keiner Stelle auf Verheißungen; dafür hat er andere Begrifflichkeit</w:t>
      </w:r>
      <w:r w:rsidR="009B496E">
        <w:rPr>
          <w:sz w:val="24"/>
          <w:szCs w:val="24"/>
        </w:rPr>
        <w:t>en</w:t>
      </w:r>
      <w:r w:rsidR="00201FAB">
        <w:rPr>
          <w:sz w:val="24"/>
          <w:szCs w:val="24"/>
        </w:rPr>
        <w:t xml:space="preserve">: eben das „Ja“ in 2. Kor 1 oder in </w:t>
      </w:r>
      <w:proofErr w:type="spellStart"/>
      <w:r w:rsidR="00201FAB">
        <w:rPr>
          <w:sz w:val="24"/>
          <w:szCs w:val="24"/>
        </w:rPr>
        <w:t>Röm</w:t>
      </w:r>
      <w:proofErr w:type="spellEnd"/>
      <w:r w:rsidR="00201FAB">
        <w:rPr>
          <w:sz w:val="24"/>
          <w:szCs w:val="24"/>
        </w:rPr>
        <w:t xml:space="preserve"> 15,8 das </w:t>
      </w:r>
      <w:proofErr w:type="spellStart"/>
      <w:r w:rsidR="00201FAB">
        <w:rPr>
          <w:sz w:val="24"/>
          <w:szCs w:val="24"/>
        </w:rPr>
        <w:t>bebaiósai</w:t>
      </w:r>
      <w:proofErr w:type="spellEnd"/>
      <w:r w:rsidR="00201FAB">
        <w:rPr>
          <w:sz w:val="24"/>
          <w:szCs w:val="24"/>
        </w:rPr>
        <w:t xml:space="preserve"> </w:t>
      </w:r>
      <w:proofErr w:type="spellStart"/>
      <w:r w:rsidR="00201FAB">
        <w:rPr>
          <w:sz w:val="24"/>
          <w:szCs w:val="24"/>
        </w:rPr>
        <w:t>tás</w:t>
      </w:r>
      <w:proofErr w:type="spellEnd"/>
      <w:r w:rsidR="00201FAB">
        <w:rPr>
          <w:sz w:val="24"/>
          <w:szCs w:val="24"/>
        </w:rPr>
        <w:t xml:space="preserve"> </w:t>
      </w:r>
      <w:proofErr w:type="spellStart"/>
      <w:r w:rsidR="00201FAB">
        <w:rPr>
          <w:sz w:val="24"/>
          <w:szCs w:val="24"/>
        </w:rPr>
        <w:t>epangelías</w:t>
      </w:r>
      <w:proofErr w:type="spellEnd"/>
      <w:r w:rsidR="00201FAB">
        <w:rPr>
          <w:sz w:val="24"/>
          <w:szCs w:val="24"/>
        </w:rPr>
        <w:t xml:space="preserve"> – „um zu bekräftigen die Verheißungen“, die den Vätern gegeben sind. Überhaupt ist </w:t>
      </w:r>
      <w:proofErr w:type="spellStart"/>
      <w:r w:rsidR="00201FAB">
        <w:rPr>
          <w:sz w:val="24"/>
          <w:szCs w:val="24"/>
        </w:rPr>
        <w:t>Röm</w:t>
      </w:r>
      <w:proofErr w:type="spellEnd"/>
      <w:r w:rsidR="00201FAB">
        <w:rPr>
          <w:sz w:val="24"/>
          <w:szCs w:val="24"/>
        </w:rPr>
        <w:t xml:space="preserve"> 15,8f  fundamental wichtig: Christus ist ein Diakon der jüdischen Gemeinschaft geworden um der Wahrhaftigkeit Gottes willen und die Verheißungen zu bekräftigen – Gottes an sein Volk. Und die Heiden? – sollen Gott loben und sich mit Israel freuen als </w:t>
      </w:r>
      <w:proofErr w:type="spellStart"/>
      <w:r w:rsidR="00201FAB">
        <w:rPr>
          <w:sz w:val="24"/>
          <w:szCs w:val="24"/>
        </w:rPr>
        <w:t>Vormalsheiden</w:t>
      </w:r>
      <w:proofErr w:type="spellEnd"/>
      <w:r w:rsidR="0090106F">
        <w:rPr>
          <w:sz w:val="24"/>
          <w:szCs w:val="24"/>
        </w:rPr>
        <w:t>, als</w:t>
      </w:r>
      <w:r w:rsidR="00201FAB">
        <w:rPr>
          <w:sz w:val="24"/>
          <w:szCs w:val="24"/>
        </w:rPr>
        <w:t xml:space="preserve"> nun Hinzugerufene, sich freuen mit Israel und seiner Schrift und   diese Schrift </w:t>
      </w:r>
      <w:r w:rsidR="0090106F">
        <w:rPr>
          <w:sz w:val="24"/>
          <w:szCs w:val="24"/>
        </w:rPr>
        <w:t xml:space="preserve">nicht </w:t>
      </w:r>
      <w:r w:rsidR="00201FAB">
        <w:rPr>
          <w:sz w:val="24"/>
          <w:szCs w:val="24"/>
        </w:rPr>
        <w:t>ins Reich der Vorchristlichkeit verbannen.</w:t>
      </w:r>
    </w:p>
    <w:p w:rsidR="00201FAB" w:rsidRDefault="00CC7510" w:rsidP="00CC7510">
      <w:pPr>
        <w:spacing w:after="120" w:line="264" w:lineRule="auto"/>
        <w:rPr>
          <w:sz w:val="24"/>
          <w:szCs w:val="24"/>
        </w:rPr>
      </w:pPr>
      <w:proofErr w:type="gramStart"/>
      <w:r>
        <w:rPr>
          <w:sz w:val="24"/>
          <w:szCs w:val="24"/>
        </w:rPr>
        <w:t>3.c</w:t>
      </w:r>
      <w:proofErr w:type="gramEnd"/>
      <w:r>
        <w:rPr>
          <w:sz w:val="24"/>
          <w:szCs w:val="24"/>
        </w:rPr>
        <w:t xml:space="preserve"> </w:t>
      </w:r>
      <w:r w:rsidR="00201FAB">
        <w:rPr>
          <w:sz w:val="24"/>
          <w:szCs w:val="24"/>
        </w:rPr>
        <w:t xml:space="preserve">1984 hat die badische Synode formuliert: „Wir </w:t>
      </w:r>
      <w:r w:rsidR="0090106F">
        <w:rPr>
          <w:sz w:val="24"/>
          <w:szCs w:val="24"/>
        </w:rPr>
        <w:t xml:space="preserve">(als Christen) </w:t>
      </w:r>
      <w:r w:rsidR="00201FAB">
        <w:rPr>
          <w:sz w:val="24"/>
          <w:szCs w:val="24"/>
        </w:rPr>
        <w:t>glauben an Gottes Treue</w:t>
      </w:r>
      <w:r>
        <w:rPr>
          <w:sz w:val="24"/>
          <w:szCs w:val="24"/>
        </w:rPr>
        <w:t>“ – und zwar an seine Treue zu Israel!</w:t>
      </w:r>
      <w:r w:rsidR="00201FAB">
        <w:rPr>
          <w:sz w:val="24"/>
          <w:szCs w:val="24"/>
        </w:rPr>
        <w:t xml:space="preserve">  Teil des christlichen Selbstverständnisses</w:t>
      </w:r>
      <w:r w:rsidR="0090106F">
        <w:rPr>
          <w:sz w:val="24"/>
          <w:szCs w:val="24"/>
        </w:rPr>
        <w:t xml:space="preserve"> ist </w:t>
      </w:r>
      <w:r>
        <w:rPr>
          <w:sz w:val="24"/>
          <w:szCs w:val="24"/>
        </w:rPr>
        <w:t xml:space="preserve">demnach </w:t>
      </w:r>
      <w:r w:rsidR="0090106F">
        <w:rPr>
          <w:sz w:val="24"/>
          <w:szCs w:val="24"/>
        </w:rPr>
        <w:t>das mit seiner Bibel unter Gottes Treue lebende Israel. Und was christliches Selbstbewusstsein ausmacht, das sage ich mi</w:t>
      </w:r>
      <w:r w:rsidR="00C42747">
        <w:rPr>
          <w:sz w:val="24"/>
          <w:szCs w:val="24"/>
        </w:rPr>
        <w:t>t</w:t>
      </w:r>
      <w:r w:rsidR="0090106F">
        <w:rPr>
          <w:sz w:val="24"/>
          <w:szCs w:val="24"/>
        </w:rPr>
        <w:t xml:space="preserve"> </w:t>
      </w:r>
      <w:proofErr w:type="spellStart"/>
      <w:r w:rsidR="0090106F">
        <w:rPr>
          <w:sz w:val="24"/>
          <w:szCs w:val="24"/>
        </w:rPr>
        <w:t>Slenczka</w:t>
      </w:r>
      <w:proofErr w:type="spellEnd"/>
      <w:r w:rsidR="0090106F">
        <w:rPr>
          <w:sz w:val="24"/>
          <w:szCs w:val="24"/>
        </w:rPr>
        <w:t>, gehört in die Bibel</w:t>
      </w:r>
      <w:r>
        <w:rPr>
          <w:sz w:val="24"/>
          <w:szCs w:val="24"/>
        </w:rPr>
        <w:t>.</w:t>
      </w:r>
      <w:r w:rsidR="0090106F">
        <w:rPr>
          <w:sz w:val="24"/>
          <w:szCs w:val="24"/>
        </w:rPr>
        <w:t xml:space="preserve"> </w:t>
      </w:r>
      <w:r>
        <w:rPr>
          <w:sz w:val="24"/>
          <w:szCs w:val="24"/>
        </w:rPr>
        <w:t>I</w:t>
      </w:r>
      <w:r w:rsidR="0090106F">
        <w:rPr>
          <w:sz w:val="24"/>
          <w:szCs w:val="24"/>
        </w:rPr>
        <w:t>nsofern Israel und seine Bibel zu meinem christlichen Selbstverständnis gehör</w:t>
      </w:r>
      <w:r>
        <w:rPr>
          <w:sz w:val="24"/>
          <w:szCs w:val="24"/>
        </w:rPr>
        <w:t>en</w:t>
      </w:r>
      <w:r w:rsidR="00201FAB">
        <w:rPr>
          <w:sz w:val="24"/>
          <w:szCs w:val="24"/>
        </w:rPr>
        <w:t xml:space="preserve">, </w:t>
      </w:r>
      <w:r w:rsidR="0090106F">
        <w:rPr>
          <w:sz w:val="24"/>
          <w:szCs w:val="24"/>
        </w:rPr>
        <w:t xml:space="preserve">gehört eben Israels Bibel auch in meine Bibel. </w:t>
      </w:r>
    </w:p>
    <w:p w:rsidR="00C42747" w:rsidRPr="00400794" w:rsidRDefault="00CC7510" w:rsidP="00CC7510">
      <w:pPr>
        <w:spacing w:after="120" w:line="264" w:lineRule="auto"/>
        <w:rPr>
          <w:sz w:val="24"/>
          <w:szCs w:val="24"/>
        </w:rPr>
      </w:pPr>
      <w:proofErr w:type="gramStart"/>
      <w:r>
        <w:rPr>
          <w:sz w:val="24"/>
          <w:szCs w:val="24"/>
        </w:rPr>
        <w:t>3.d</w:t>
      </w:r>
      <w:proofErr w:type="gramEnd"/>
      <w:r>
        <w:rPr>
          <w:sz w:val="24"/>
          <w:szCs w:val="24"/>
        </w:rPr>
        <w:t xml:space="preserve"> </w:t>
      </w:r>
      <w:r w:rsidR="00C42747">
        <w:rPr>
          <w:sz w:val="24"/>
          <w:szCs w:val="24"/>
        </w:rPr>
        <w:t>Das „Ja“ auf die Schrift in Christus</w:t>
      </w:r>
      <w:r>
        <w:rPr>
          <w:sz w:val="24"/>
          <w:szCs w:val="24"/>
        </w:rPr>
        <w:t xml:space="preserve"> meint</w:t>
      </w:r>
      <w:r w:rsidR="00C42747">
        <w:rPr>
          <w:sz w:val="24"/>
          <w:szCs w:val="24"/>
        </w:rPr>
        <w:t xml:space="preserve">: Sie ist in Geltung, nicht im Sinne einer Sammlung erfüllter Verheißungen, sondern bestätigter, bekräftigter, durchaus auch offener Zusagen Gottes. Gerade die offenen brauche ich, sonst würde ich langsam aber sicher erlahmen im Glauben und in der Hoffnung darauf, dass einmal Wölfe bei den Lämmern wohnen und die Panther bei den Böcken lagern; dass Gotteserkenntnis das Land bedecken werde und Ströme von Gerechtigkeit regnen werden – das brauche ich, nicht nur als willkommene Hilfe zur Lebensdeutung, sondern als Stimulus für meinen Glauben und mein Christsein an allen Tagen meines Lebens. </w:t>
      </w:r>
    </w:p>
    <w:p w:rsidR="00602773" w:rsidRPr="009446F0" w:rsidRDefault="00602773" w:rsidP="009B496E">
      <w:pPr>
        <w:spacing w:after="120" w:line="264" w:lineRule="auto"/>
        <w:rPr>
          <w:sz w:val="12"/>
          <w:szCs w:val="12"/>
        </w:rPr>
      </w:pPr>
    </w:p>
    <w:p w:rsidR="00F24DFE" w:rsidRDefault="00337B07" w:rsidP="009B496E">
      <w:pPr>
        <w:spacing w:after="120" w:line="264" w:lineRule="auto"/>
        <w:rPr>
          <w:sz w:val="24"/>
          <w:szCs w:val="24"/>
        </w:rPr>
      </w:pPr>
      <w:r w:rsidRPr="00400794">
        <w:rPr>
          <w:sz w:val="24"/>
          <w:szCs w:val="24"/>
        </w:rPr>
        <w:t xml:space="preserve">4. </w:t>
      </w:r>
      <w:r w:rsidR="00F24DFE" w:rsidRPr="00400794">
        <w:rPr>
          <w:sz w:val="24"/>
          <w:szCs w:val="24"/>
        </w:rPr>
        <w:t xml:space="preserve">Das </w:t>
      </w:r>
      <w:r w:rsidR="00C42747">
        <w:rPr>
          <w:sz w:val="24"/>
          <w:szCs w:val="24"/>
        </w:rPr>
        <w:t>„</w:t>
      </w:r>
      <w:r w:rsidR="00F24DFE" w:rsidRPr="00400794">
        <w:rPr>
          <w:sz w:val="24"/>
          <w:szCs w:val="24"/>
        </w:rPr>
        <w:t>Ja</w:t>
      </w:r>
      <w:r w:rsidR="00C42747">
        <w:rPr>
          <w:sz w:val="24"/>
          <w:szCs w:val="24"/>
        </w:rPr>
        <w:t>“</w:t>
      </w:r>
      <w:r w:rsidR="00F24DFE" w:rsidRPr="00400794">
        <w:rPr>
          <w:sz w:val="24"/>
          <w:szCs w:val="24"/>
        </w:rPr>
        <w:t xml:space="preserve"> auf alle Verheißungen durch Christus lädt gerade nicht zu einem</w:t>
      </w:r>
      <w:r w:rsidR="009F2231">
        <w:rPr>
          <w:sz w:val="24"/>
          <w:szCs w:val="24"/>
        </w:rPr>
        <w:t xml:space="preserve"> exklusiv</w:t>
      </w:r>
      <w:r w:rsidR="00F24DFE" w:rsidRPr="00400794">
        <w:rPr>
          <w:sz w:val="24"/>
          <w:szCs w:val="24"/>
        </w:rPr>
        <w:t xml:space="preserve"> „christologischen Lesen“ der </w:t>
      </w:r>
      <w:proofErr w:type="spellStart"/>
      <w:r w:rsidR="00F24DFE" w:rsidRPr="00400794">
        <w:rPr>
          <w:sz w:val="24"/>
          <w:szCs w:val="24"/>
        </w:rPr>
        <w:t>Hebräischen</w:t>
      </w:r>
      <w:proofErr w:type="spellEnd"/>
      <w:r w:rsidR="00F24DFE" w:rsidRPr="00400794">
        <w:rPr>
          <w:sz w:val="24"/>
          <w:szCs w:val="24"/>
        </w:rPr>
        <w:t xml:space="preserve"> Bibel ein, wo</w:t>
      </w:r>
      <w:r w:rsidR="009F2231">
        <w:rPr>
          <w:sz w:val="24"/>
          <w:szCs w:val="24"/>
        </w:rPr>
        <w:t xml:space="preserve">hl aber zu einem Entdecken der </w:t>
      </w:r>
      <w:proofErr w:type="spellStart"/>
      <w:r w:rsidR="009F2231">
        <w:rPr>
          <w:sz w:val="24"/>
          <w:szCs w:val="24"/>
        </w:rPr>
        <w:t>V</w:t>
      </w:r>
      <w:r w:rsidR="00F24DFE" w:rsidRPr="00400794">
        <w:rPr>
          <w:sz w:val="24"/>
          <w:szCs w:val="24"/>
        </w:rPr>
        <w:t>erstehens</w:t>
      </w:r>
      <w:r w:rsidR="009F2231">
        <w:rPr>
          <w:sz w:val="24"/>
          <w:szCs w:val="24"/>
        </w:rPr>
        <w:t>hilfen</w:t>
      </w:r>
      <w:proofErr w:type="spellEnd"/>
      <w:r w:rsidR="00F24DFE" w:rsidRPr="00400794">
        <w:rPr>
          <w:sz w:val="24"/>
          <w:szCs w:val="24"/>
        </w:rPr>
        <w:t xml:space="preserve"> des Christusgeschehens in der Jüdischen Bibel (</w:t>
      </w:r>
      <w:r w:rsidR="00CC7510">
        <w:rPr>
          <w:sz w:val="24"/>
          <w:szCs w:val="24"/>
        </w:rPr>
        <w:t xml:space="preserve">Nach der Weise </w:t>
      </w:r>
      <w:r w:rsidR="00F24DFE" w:rsidRPr="00400794">
        <w:rPr>
          <w:sz w:val="24"/>
          <w:szCs w:val="24"/>
        </w:rPr>
        <w:t>„</w:t>
      </w:r>
      <w:r w:rsidR="00F24DFE" w:rsidRPr="00CC7510">
        <w:rPr>
          <w:i/>
          <w:sz w:val="24"/>
          <w:szCs w:val="24"/>
        </w:rPr>
        <w:t>wie</w:t>
      </w:r>
      <w:r w:rsidR="00CC7510">
        <w:rPr>
          <w:sz w:val="24"/>
          <w:szCs w:val="24"/>
        </w:rPr>
        <w:t xml:space="preserve"> (!)</w:t>
      </w:r>
      <w:r w:rsidR="00F24DFE" w:rsidRPr="00400794">
        <w:rPr>
          <w:sz w:val="24"/>
          <w:szCs w:val="24"/>
        </w:rPr>
        <w:t xml:space="preserve"> </w:t>
      </w:r>
      <w:proofErr w:type="spellStart"/>
      <w:r w:rsidR="00F24DFE" w:rsidRPr="00400794">
        <w:rPr>
          <w:sz w:val="24"/>
          <w:szCs w:val="24"/>
        </w:rPr>
        <w:t>uns</w:t>
      </w:r>
      <w:proofErr w:type="spellEnd"/>
      <w:r w:rsidR="00F24DFE" w:rsidRPr="00400794">
        <w:rPr>
          <w:sz w:val="24"/>
          <w:szCs w:val="24"/>
        </w:rPr>
        <w:t xml:space="preserve"> die Alten </w:t>
      </w:r>
      <w:proofErr w:type="spellStart"/>
      <w:r w:rsidR="00F24DFE" w:rsidRPr="00400794">
        <w:rPr>
          <w:sz w:val="24"/>
          <w:szCs w:val="24"/>
        </w:rPr>
        <w:t>sungen</w:t>
      </w:r>
      <w:proofErr w:type="spellEnd"/>
      <w:r w:rsidR="00F24DFE" w:rsidRPr="00400794">
        <w:rPr>
          <w:sz w:val="24"/>
          <w:szCs w:val="24"/>
        </w:rPr>
        <w:t>“</w:t>
      </w:r>
      <w:r w:rsidR="00CC7510">
        <w:rPr>
          <w:sz w:val="24"/>
          <w:szCs w:val="24"/>
        </w:rPr>
        <w:t>,</w:t>
      </w:r>
      <w:r w:rsidR="009927F3">
        <w:rPr>
          <w:sz w:val="24"/>
          <w:szCs w:val="24"/>
        </w:rPr>
        <w:t xml:space="preserve"> </w:t>
      </w:r>
      <w:r w:rsidR="009927F3" w:rsidRPr="00CC7510">
        <w:rPr>
          <w:i/>
          <w:sz w:val="24"/>
          <w:szCs w:val="24"/>
        </w:rPr>
        <w:t>nicht</w:t>
      </w:r>
      <w:r w:rsidR="00CC7510">
        <w:rPr>
          <w:sz w:val="24"/>
          <w:szCs w:val="24"/>
        </w:rPr>
        <w:t xml:space="preserve"> nach der Melodie</w:t>
      </w:r>
      <w:r w:rsidR="009927F3">
        <w:rPr>
          <w:sz w:val="24"/>
          <w:szCs w:val="24"/>
        </w:rPr>
        <w:t xml:space="preserve">: „Was der alten Väter Schar höchster Wunsch und Sehnen war und was sie </w:t>
      </w:r>
      <w:proofErr w:type="spellStart"/>
      <w:r w:rsidR="009927F3">
        <w:rPr>
          <w:sz w:val="24"/>
          <w:szCs w:val="24"/>
        </w:rPr>
        <w:t>geprophezeiht</w:t>
      </w:r>
      <w:proofErr w:type="spellEnd"/>
      <w:r w:rsidR="009927F3">
        <w:rPr>
          <w:sz w:val="24"/>
          <w:szCs w:val="24"/>
        </w:rPr>
        <w:t>, ist erfüllt in Herrlichkeit“</w:t>
      </w:r>
      <w:r w:rsidR="00F24DFE" w:rsidRPr="00400794">
        <w:rPr>
          <w:sz w:val="24"/>
          <w:szCs w:val="24"/>
        </w:rPr>
        <w:t xml:space="preserve">). </w:t>
      </w:r>
    </w:p>
    <w:p w:rsidR="00A63D49" w:rsidRDefault="00CC7510" w:rsidP="009B496E">
      <w:pPr>
        <w:spacing w:after="120" w:line="264" w:lineRule="auto"/>
        <w:rPr>
          <w:sz w:val="24"/>
          <w:szCs w:val="24"/>
        </w:rPr>
      </w:pPr>
      <w:proofErr w:type="gramStart"/>
      <w:r>
        <w:rPr>
          <w:sz w:val="24"/>
          <w:szCs w:val="24"/>
        </w:rPr>
        <w:t>4.a</w:t>
      </w:r>
      <w:proofErr w:type="gramEnd"/>
      <w:r>
        <w:rPr>
          <w:sz w:val="24"/>
          <w:szCs w:val="24"/>
        </w:rPr>
        <w:t xml:space="preserve"> </w:t>
      </w:r>
      <w:r w:rsidR="00A63D49">
        <w:rPr>
          <w:sz w:val="24"/>
          <w:szCs w:val="24"/>
        </w:rPr>
        <w:t xml:space="preserve">Das „Ja“ ist nicht ein </w:t>
      </w:r>
      <w:proofErr w:type="spellStart"/>
      <w:r w:rsidR="00A63D49">
        <w:rPr>
          <w:sz w:val="24"/>
          <w:szCs w:val="24"/>
        </w:rPr>
        <w:t>Veri</w:t>
      </w:r>
      <w:r w:rsidR="008D32DA">
        <w:rPr>
          <w:sz w:val="24"/>
          <w:szCs w:val="24"/>
        </w:rPr>
        <w:t>-F</w:t>
      </w:r>
      <w:r w:rsidR="00A63D49">
        <w:rPr>
          <w:sz w:val="24"/>
          <w:szCs w:val="24"/>
        </w:rPr>
        <w:t>izieren</w:t>
      </w:r>
      <w:proofErr w:type="spellEnd"/>
      <w:r w:rsidR="00A63D49">
        <w:rPr>
          <w:sz w:val="24"/>
          <w:szCs w:val="24"/>
        </w:rPr>
        <w:t>, nicht erst ein Wahr</w:t>
      </w:r>
      <w:r w:rsidR="008D32DA">
        <w:rPr>
          <w:sz w:val="24"/>
          <w:szCs w:val="24"/>
        </w:rPr>
        <w:t>-M</w:t>
      </w:r>
      <w:r w:rsidR="00A63D49">
        <w:rPr>
          <w:sz w:val="24"/>
          <w:szCs w:val="24"/>
        </w:rPr>
        <w:t xml:space="preserve">achen dessen, was ante Christum vielleicht noch nicht wahr wäre. </w:t>
      </w:r>
      <w:r>
        <w:rPr>
          <w:sz w:val="24"/>
          <w:szCs w:val="24"/>
        </w:rPr>
        <w:t xml:space="preserve">Das </w:t>
      </w:r>
      <w:r w:rsidR="00A63D49">
        <w:rPr>
          <w:sz w:val="24"/>
          <w:szCs w:val="24"/>
        </w:rPr>
        <w:t xml:space="preserve">„Ja“ ist </w:t>
      </w:r>
      <w:r w:rsidR="00AA099C">
        <w:rPr>
          <w:sz w:val="24"/>
          <w:szCs w:val="24"/>
        </w:rPr>
        <w:t xml:space="preserve">neuerliche Bestärkung dessen, was Wahrheit </w:t>
      </w:r>
      <w:r>
        <w:rPr>
          <w:sz w:val="24"/>
          <w:szCs w:val="24"/>
        </w:rPr>
        <w:t xml:space="preserve">von Gott her </w:t>
      </w:r>
      <w:r w:rsidR="00AA099C">
        <w:rPr>
          <w:sz w:val="24"/>
          <w:szCs w:val="24"/>
        </w:rPr>
        <w:t>schon beansprucht.</w:t>
      </w:r>
    </w:p>
    <w:p w:rsidR="00AA1A3E" w:rsidRPr="00400794" w:rsidRDefault="00AA1A3E" w:rsidP="009B496E">
      <w:pPr>
        <w:spacing w:after="120" w:line="264" w:lineRule="auto"/>
        <w:rPr>
          <w:sz w:val="24"/>
          <w:szCs w:val="24"/>
        </w:rPr>
      </w:pPr>
    </w:p>
    <w:p w:rsidR="009927F3" w:rsidRPr="00366562" w:rsidRDefault="00337B07" w:rsidP="00366562">
      <w:pPr>
        <w:spacing w:after="120" w:line="264" w:lineRule="auto"/>
        <w:rPr>
          <w:sz w:val="24"/>
          <w:szCs w:val="24"/>
        </w:rPr>
      </w:pPr>
      <w:r w:rsidRPr="00400794">
        <w:rPr>
          <w:sz w:val="24"/>
          <w:szCs w:val="24"/>
        </w:rPr>
        <w:t xml:space="preserve">5. </w:t>
      </w:r>
      <w:r w:rsidR="00912E6A" w:rsidRPr="00400794">
        <w:rPr>
          <w:sz w:val="24"/>
          <w:szCs w:val="24"/>
        </w:rPr>
        <w:t>Eine</w:t>
      </w:r>
      <w:r w:rsidR="00F05E33" w:rsidRPr="00400794">
        <w:rPr>
          <w:sz w:val="24"/>
          <w:szCs w:val="24"/>
        </w:rPr>
        <w:t xml:space="preserve"> </w:t>
      </w:r>
      <w:proofErr w:type="spellStart"/>
      <w:r w:rsidR="00F05E33" w:rsidRPr="00400794">
        <w:rPr>
          <w:sz w:val="24"/>
          <w:szCs w:val="24"/>
        </w:rPr>
        <w:t>Dekanonisierung</w:t>
      </w:r>
      <w:proofErr w:type="spellEnd"/>
      <w:r w:rsidR="00F05E33" w:rsidRPr="00400794">
        <w:rPr>
          <w:sz w:val="24"/>
          <w:szCs w:val="24"/>
        </w:rPr>
        <w:t xml:space="preserve"> der </w:t>
      </w:r>
      <w:proofErr w:type="spellStart"/>
      <w:r w:rsidR="00F05E33" w:rsidRPr="00400794">
        <w:rPr>
          <w:sz w:val="24"/>
          <w:szCs w:val="24"/>
        </w:rPr>
        <w:t>Hebräischen</w:t>
      </w:r>
      <w:proofErr w:type="spellEnd"/>
      <w:r w:rsidR="00F05E33" w:rsidRPr="00400794">
        <w:rPr>
          <w:sz w:val="24"/>
          <w:szCs w:val="24"/>
        </w:rPr>
        <w:t xml:space="preserve"> Bibel im Raum der Kirche </w:t>
      </w:r>
      <w:r w:rsidR="00C52690">
        <w:rPr>
          <w:sz w:val="24"/>
          <w:szCs w:val="24"/>
        </w:rPr>
        <w:t>tangiert</w:t>
      </w:r>
      <w:r w:rsidR="00F05E33" w:rsidRPr="00400794">
        <w:rPr>
          <w:sz w:val="24"/>
          <w:szCs w:val="24"/>
        </w:rPr>
        <w:t xml:space="preserve"> auch das Neue Testament </w:t>
      </w:r>
      <w:r w:rsidR="00C52690">
        <w:rPr>
          <w:sz w:val="24"/>
          <w:szCs w:val="24"/>
        </w:rPr>
        <w:t>in seinem</w:t>
      </w:r>
      <w:r w:rsidR="00F05E33" w:rsidRPr="00400794">
        <w:rPr>
          <w:sz w:val="24"/>
          <w:szCs w:val="24"/>
        </w:rPr>
        <w:t xml:space="preserve"> essenziellen Bezug auf die „Schrift“; dies wäre offenkundig ein Stich ins Herz der neutestamentlichen Überlieferung.</w:t>
      </w:r>
      <w:r w:rsidR="009927F3">
        <w:rPr>
          <w:sz w:val="24"/>
          <w:szCs w:val="24"/>
        </w:rPr>
        <w:br/>
      </w:r>
    </w:p>
    <w:p w:rsidR="003B5373" w:rsidRDefault="00CC7510" w:rsidP="009B496E">
      <w:pPr>
        <w:spacing w:after="120" w:line="264" w:lineRule="auto"/>
        <w:rPr>
          <w:sz w:val="24"/>
          <w:szCs w:val="24"/>
        </w:rPr>
      </w:pPr>
      <w:proofErr w:type="gramStart"/>
      <w:r>
        <w:rPr>
          <w:sz w:val="24"/>
          <w:szCs w:val="24"/>
        </w:rPr>
        <w:t>5.a</w:t>
      </w:r>
      <w:proofErr w:type="gramEnd"/>
      <w:r>
        <w:rPr>
          <w:sz w:val="24"/>
          <w:szCs w:val="24"/>
        </w:rPr>
        <w:t xml:space="preserve"> </w:t>
      </w:r>
      <w:r w:rsidR="009927F3">
        <w:rPr>
          <w:sz w:val="24"/>
          <w:szCs w:val="24"/>
        </w:rPr>
        <w:t>Es macht etwas mit dem N</w:t>
      </w:r>
      <w:r>
        <w:rPr>
          <w:sz w:val="24"/>
          <w:szCs w:val="24"/>
        </w:rPr>
        <w:t xml:space="preserve">euen </w:t>
      </w:r>
      <w:r w:rsidR="009927F3">
        <w:rPr>
          <w:sz w:val="24"/>
          <w:szCs w:val="24"/>
        </w:rPr>
        <w:t>T</w:t>
      </w:r>
      <w:r>
        <w:rPr>
          <w:sz w:val="24"/>
          <w:szCs w:val="24"/>
        </w:rPr>
        <w:t>estament</w:t>
      </w:r>
      <w:r w:rsidR="009927F3">
        <w:rPr>
          <w:sz w:val="24"/>
          <w:szCs w:val="24"/>
        </w:rPr>
        <w:t xml:space="preserve">, wenn ich behaupten würde: das NT zitiert immerfort </w:t>
      </w:r>
      <w:r>
        <w:rPr>
          <w:sz w:val="24"/>
          <w:szCs w:val="24"/>
        </w:rPr>
        <w:t xml:space="preserve">nur </w:t>
      </w:r>
      <w:r w:rsidR="009927F3">
        <w:rPr>
          <w:sz w:val="24"/>
          <w:szCs w:val="24"/>
        </w:rPr>
        <w:t>apokryphes Material und nicht Bibel. Da</w:t>
      </w:r>
      <w:r w:rsidR="00034128">
        <w:rPr>
          <w:sz w:val="24"/>
          <w:szCs w:val="24"/>
        </w:rPr>
        <w:t>s geht dem NT an die Substanz!</w:t>
      </w:r>
    </w:p>
    <w:p w:rsidR="00602773" w:rsidRDefault="00337B07" w:rsidP="009B496E">
      <w:pPr>
        <w:spacing w:after="120" w:line="264" w:lineRule="auto"/>
        <w:rPr>
          <w:sz w:val="24"/>
          <w:szCs w:val="24"/>
        </w:rPr>
      </w:pPr>
      <w:r w:rsidRPr="00400794">
        <w:rPr>
          <w:sz w:val="24"/>
          <w:szCs w:val="24"/>
        </w:rPr>
        <w:lastRenderedPageBreak/>
        <w:t xml:space="preserve">6. </w:t>
      </w:r>
      <w:r w:rsidR="00602773" w:rsidRPr="00400794">
        <w:rPr>
          <w:sz w:val="24"/>
          <w:szCs w:val="24"/>
        </w:rPr>
        <w:t xml:space="preserve">Luther </w:t>
      </w:r>
      <w:r w:rsidR="006E0175" w:rsidRPr="00400794">
        <w:rPr>
          <w:sz w:val="24"/>
          <w:szCs w:val="24"/>
        </w:rPr>
        <w:t xml:space="preserve">hat </w:t>
      </w:r>
      <w:r w:rsidR="00F24DFE" w:rsidRPr="00400794">
        <w:rPr>
          <w:sz w:val="24"/>
          <w:szCs w:val="24"/>
        </w:rPr>
        <w:t xml:space="preserve">im Blick auf die Geltung </w:t>
      </w:r>
      <w:r w:rsidR="00AA099C">
        <w:rPr>
          <w:sz w:val="24"/>
          <w:szCs w:val="24"/>
        </w:rPr>
        <w:t xml:space="preserve">der Worte Gotte, insbesondere </w:t>
      </w:r>
      <w:r w:rsidR="00F24DFE" w:rsidRPr="00400794">
        <w:rPr>
          <w:sz w:val="24"/>
          <w:szCs w:val="24"/>
        </w:rPr>
        <w:t xml:space="preserve">der biblischen Gebote </w:t>
      </w:r>
      <w:r w:rsidR="00602773" w:rsidRPr="00400794">
        <w:rPr>
          <w:sz w:val="24"/>
          <w:szCs w:val="24"/>
        </w:rPr>
        <w:t xml:space="preserve">auf eine Unterscheidung der Adressaten der </w:t>
      </w:r>
      <w:proofErr w:type="spellStart"/>
      <w:r w:rsidR="00602773" w:rsidRPr="00400794">
        <w:rPr>
          <w:sz w:val="24"/>
          <w:szCs w:val="24"/>
        </w:rPr>
        <w:t>Hebräischen</w:t>
      </w:r>
      <w:proofErr w:type="spellEnd"/>
      <w:r w:rsidR="00602773" w:rsidRPr="00400794">
        <w:rPr>
          <w:sz w:val="24"/>
          <w:szCs w:val="24"/>
        </w:rPr>
        <w:t xml:space="preserve"> Bibel an Juden und Nichtjuden</w:t>
      </w:r>
      <w:r w:rsidR="006E0175" w:rsidRPr="00400794">
        <w:rPr>
          <w:sz w:val="24"/>
          <w:szCs w:val="24"/>
        </w:rPr>
        <w:t xml:space="preserve"> bestanden</w:t>
      </w:r>
      <w:r w:rsidR="00602773" w:rsidRPr="00400794">
        <w:rPr>
          <w:sz w:val="24"/>
          <w:szCs w:val="24"/>
        </w:rPr>
        <w:t xml:space="preserve">; </w:t>
      </w:r>
      <w:r w:rsidR="006E0175" w:rsidRPr="00400794">
        <w:rPr>
          <w:sz w:val="24"/>
          <w:szCs w:val="24"/>
        </w:rPr>
        <w:t xml:space="preserve">mit und dann aber auch gegen Luther ist </w:t>
      </w:r>
      <w:r w:rsidR="00602773" w:rsidRPr="00400794">
        <w:rPr>
          <w:sz w:val="24"/>
          <w:szCs w:val="24"/>
        </w:rPr>
        <w:t xml:space="preserve">diese Differenzierung nicht </w:t>
      </w:r>
      <w:r w:rsidR="00987F4D">
        <w:rPr>
          <w:sz w:val="24"/>
          <w:szCs w:val="24"/>
        </w:rPr>
        <w:t>unter</w:t>
      </w:r>
      <w:r w:rsidR="006E0175" w:rsidRPr="00400794">
        <w:rPr>
          <w:sz w:val="24"/>
          <w:szCs w:val="24"/>
        </w:rPr>
        <w:t xml:space="preserve"> </w:t>
      </w:r>
      <w:r w:rsidR="00987F4D">
        <w:rPr>
          <w:sz w:val="24"/>
          <w:szCs w:val="24"/>
        </w:rPr>
        <w:t>Vernachlässigung der</w:t>
      </w:r>
      <w:r w:rsidR="00602773" w:rsidRPr="00400794">
        <w:rPr>
          <w:sz w:val="24"/>
          <w:szCs w:val="24"/>
        </w:rPr>
        <w:t xml:space="preserve"> Anrede an die nichtjüdische Völkerwelt</w:t>
      </w:r>
      <w:r w:rsidR="006E0175" w:rsidRPr="00400794">
        <w:rPr>
          <w:sz w:val="24"/>
          <w:szCs w:val="24"/>
        </w:rPr>
        <w:t xml:space="preserve"> aufzulösen.</w:t>
      </w:r>
    </w:p>
    <w:p w:rsidR="00AA099C" w:rsidRDefault="00CC7510" w:rsidP="009B496E">
      <w:pPr>
        <w:spacing w:after="120" w:line="264" w:lineRule="auto"/>
        <w:rPr>
          <w:sz w:val="24"/>
          <w:szCs w:val="24"/>
        </w:rPr>
      </w:pPr>
      <w:proofErr w:type="gramStart"/>
      <w:r>
        <w:rPr>
          <w:sz w:val="24"/>
          <w:szCs w:val="24"/>
        </w:rPr>
        <w:t>6.a</w:t>
      </w:r>
      <w:proofErr w:type="gramEnd"/>
      <w:r>
        <w:rPr>
          <w:sz w:val="24"/>
          <w:szCs w:val="24"/>
        </w:rPr>
        <w:t xml:space="preserve"> Ich beziehe mich auf </w:t>
      </w:r>
      <w:r w:rsidR="00AA099C">
        <w:rPr>
          <w:sz w:val="24"/>
          <w:szCs w:val="24"/>
        </w:rPr>
        <w:t>Luthers „Unterweisung, wie sich Chr</w:t>
      </w:r>
      <w:r>
        <w:rPr>
          <w:sz w:val="24"/>
          <w:szCs w:val="24"/>
        </w:rPr>
        <w:t xml:space="preserve">isten in </w:t>
      </w:r>
      <w:proofErr w:type="spellStart"/>
      <w:r>
        <w:rPr>
          <w:sz w:val="24"/>
          <w:szCs w:val="24"/>
        </w:rPr>
        <w:t>Mosen</w:t>
      </w:r>
      <w:proofErr w:type="spellEnd"/>
      <w:r>
        <w:rPr>
          <w:sz w:val="24"/>
          <w:szCs w:val="24"/>
        </w:rPr>
        <w:t xml:space="preserve"> sollen schicken“:</w:t>
      </w:r>
      <w:r w:rsidR="00AA099C">
        <w:rPr>
          <w:sz w:val="24"/>
          <w:szCs w:val="24"/>
        </w:rPr>
        <w:t xml:space="preserve"> </w:t>
      </w:r>
      <w:r w:rsidR="001A1FBE">
        <w:rPr>
          <w:sz w:val="24"/>
          <w:szCs w:val="24"/>
        </w:rPr>
        <w:br/>
      </w:r>
      <w:r w:rsidR="009927F3">
        <w:rPr>
          <w:sz w:val="24"/>
          <w:szCs w:val="24"/>
        </w:rPr>
        <w:t xml:space="preserve">Die Unterscheidung der Adressaten – gut, wichtig und redlich! </w:t>
      </w:r>
      <w:r w:rsidR="00AA099C">
        <w:rPr>
          <w:sz w:val="24"/>
          <w:szCs w:val="24"/>
        </w:rPr>
        <w:t xml:space="preserve">Luther bleibt dabei </w:t>
      </w:r>
      <w:r w:rsidR="009927F3">
        <w:rPr>
          <w:sz w:val="24"/>
          <w:szCs w:val="24"/>
        </w:rPr>
        <w:t xml:space="preserve">aber </w:t>
      </w:r>
      <w:r w:rsidR="00AA099C">
        <w:rPr>
          <w:sz w:val="24"/>
          <w:szCs w:val="24"/>
        </w:rPr>
        <w:t xml:space="preserve">ein Gefangener seiner eigenen antithetischen Denkvoraussetzungen. Er erliegt der </w:t>
      </w:r>
      <w:r>
        <w:rPr>
          <w:sz w:val="24"/>
          <w:szCs w:val="24"/>
        </w:rPr>
        <w:t>„</w:t>
      </w:r>
      <w:r w:rsidR="00AA099C">
        <w:rPr>
          <w:sz w:val="24"/>
          <w:szCs w:val="24"/>
        </w:rPr>
        <w:t>Suggestion des Antithetischen</w:t>
      </w:r>
      <w:r>
        <w:rPr>
          <w:sz w:val="24"/>
          <w:szCs w:val="24"/>
        </w:rPr>
        <w:t>“ (Marquardt)</w:t>
      </w:r>
      <w:r w:rsidR="00AA099C">
        <w:rPr>
          <w:sz w:val="24"/>
          <w:szCs w:val="24"/>
        </w:rPr>
        <w:t xml:space="preserve"> und kommt nicht hinaus über einen Satz wie: „Kein </w:t>
      </w:r>
      <w:proofErr w:type="spellStart"/>
      <w:r w:rsidR="00AA099C">
        <w:rPr>
          <w:sz w:val="24"/>
          <w:szCs w:val="24"/>
        </w:rPr>
        <w:t>Pünktlin</w:t>
      </w:r>
      <w:proofErr w:type="spellEnd"/>
      <w:r w:rsidR="00AA099C">
        <w:rPr>
          <w:sz w:val="24"/>
          <w:szCs w:val="24"/>
        </w:rPr>
        <w:t xml:space="preserve"> geht uns an in </w:t>
      </w:r>
      <w:proofErr w:type="spellStart"/>
      <w:r w:rsidR="00AA099C">
        <w:rPr>
          <w:sz w:val="24"/>
          <w:szCs w:val="24"/>
        </w:rPr>
        <w:t>Mosen</w:t>
      </w:r>
      <w:proofErr w:type="spellEnd"/>
      <w:r w:rsidR="00AA099C">
        <w:rPr>
          <w:sz w:val="24"/>
          <w:szCs w:val="24"/>
        </w:rPr>
        <w:t>!“ Einen Gebrauch des biblischen Gesetzes unter christlich Glaubenden (ein</w:t>
      </w:r>
      <w:r w:rsidR="00987F4D">
        <w:rPr>
          <w:sz w:val="24"/>
          <w:szCs w:val="24"/>
        </w:rPr>
        <w:t>en</w:t>
      </w:r>
      <w:r w:rsidR="00AA099C">
        <w:rPr>
          <w:sz w:val="24"/>
          <w:szCs w:val="24"/>
        </w:rPr>
        <w:t xml:space="preserve"> </w:t>
      </w:r>
      <w:proofErr w:type="spellStart"/>
      <w:r w:rsidR="00AA099C">
        <w:rPr>
          <w:sz w:val="24"/>
          <w:szCs w:val="24"/>
        </w:rPr>
        <w:t>tertius</w:t>
      </w:r>
      <w:proofErr w:type="spellEnd"/>
      <w:r w:rsidR="00AA099C">
        <w:rPr>
          <w:sz w:val="24"/>
          <w:szCs w:val="24"/>
        </w:rPr>
        <w:t xml:space="preserve"> </w:t>
      </w:r>
      <w:proofErr w:type="spellStart"/>
      <w:r w:rsidR="00AA099C">
        <w:rPr>
          <w:sz w:val="24"/>
          <w:szCs w:val="24"/>
        </w:rPr>
        <w:t>usus</w:t>
      </w:r>
      <w:proofErr w:type="spellEnd"/>
      <w:r w:rsidR="00AA099C">
        <w:rPr>
          <w:sz w:val="24"/>
          <w:szCs w:val="24"/>
        </w:rPr>
        <w:t xml:space="preserve"> </w:t>
      </w:r>
      <w:proofErr w:type="spellStart"/>
      <w:r w:rsidR="00AA099C">
        <w:rPr>
          <w:sz w:val="24"/>
          <w:szCs w:val="24"/>
        </w:rPr>
        <w:t>legis</w:t>
      </w:r>
      <w:proofErr w:type="spellEnd"/>
      <w:r w:rsidR="00AA099C">
        <w:rPr>
          <w:sz w:val="24"/>
          <w:szCs w:val="24"/>
        </w:rPr>
        <w:t>) kann er systematisch-theologi</w:t>
      </w:r>
      <w:r>
        <w:rPr>
          <w:sz w:val="24"/>
          <w:szCs w:val="24"/>
        </w:rPr>
        <w:t xml:space="preserve">sch nicht wirklich denken – </w:t>
      </w:r>
      <w:r w:rsidR="00AA099C">
        <w:rPr>
          <w:sz w:val="24"/>
          <w:szCs w:val="24"/>
        </w:rPr>
        <w:t>wer umgekehrt einen solchen Gebrauch des Gesetzes unter Glaubenden denken will und kann, der braucht dazu die Hebräische Bibel als Heilige Schrift.</w:t>
      </w:r>
    </w:p>
    <w:p w:rsidR="00AA1A3E" w:rsidRDefault="00CC7510" w:rsidP="009B496E">
      <w:pPr>
        <w:spacing w:after="120" w:line="264" w:lineRule="auto"/>
        <w:rPr>
          <w:sz w:val="24"/>
          <w:szCs w:val="24"/>
        </w:rPr>
      </w:pPr>
      <w:proofErr w:type="gramStart"/>
      <w:r>
        <w:rPr>
          <w:sz w:val="24"/>
          <w:szCs w:val="24"/>
        </w:rPr>
        <w:t>6.b</w:t>
      </w:r>
      <w:proofErr w:type="gramEnd"/>
      <w:r>
        <w:rPr>
          <w:sz w:val="24"/>
          <w:szCs w:val="24"/>
        </w:rPr>
        <w:t xml:space="preserve"> </w:t>
      </w:r>
      <w:r w:rsidR="00AA1A3E">
        <w:rPr>
          <w:sz w:val="24"/>
          <w:szCs w:val="24"/>
        </w:rPr>
        <w:t>In der Forderung nach Unterscheidung der Adressaten bleibt Luther wegweisend</w:t>
      </w:r>
      <w:r w:rsidR="00987F4D">
        <w:rPr>
          <w:sz w:val="24"/>
          <w:szCs w:val="24"/>
        </w:rPr>
        <w:t xml:space="preserve">; nur müssten wir sorgfältig (mit dem AT und seiner rabbinischen Auslegungsgeschichte) danach suchen, wo wir als Christen aus den Völkern angeredet sind. </w:t>
      </w:r>
      <w:r w:rsidR="00034128">
        <w:rPr>
          <w:sz w:val="24"/>
          <w:szCs w:val="24"/>
        </w:rPr>
        <w:t>Differenziertes Bibellesen: Heinz Zahrnts Satz</w:t>
      </w:r>
      <w:r>
        <w:rPr>
          <w:sz w:val="24"/>
          <w:szCs w:val="24"/>
        </w:rPr>
        <w:t xml:space="preserve"> wegweisend</w:t>
      </w:r>
      <w:r w:rsidR="00034128">
        <w:rPr>
          <w:sz w:val="24"/>
          <w:szCs w:val="24"/>
        </w:rPr>
        <w:t xml:space="preserve">: „Wem in der Bibel alles gleich gültig ist, dem ist bald die ganze Bibel gleichgültig!“ </w:t>
      </w:r>
    </w:p>
    <w:p w:rsidR="00CA3E85" w:rsidRPr="00400794" w:rsidRDefault="00CC7510" w:rsidP="00CC7510">
      <w:pPr>
        <w:spacing w:after="120" w:line="264" w:lineRule="auto"/>
        <w:rPr>
          <w:sz w:val="24"/>
          <w:szCs w:val="24"/>
        </w:rPr>
      </w:pPr>
      <w:proofErr w:type="gramStart"/>
      <w:r>
        <w:rPr>
          <w:sz w:val="24"/>
          <w:szCs w:val="24"/>
        </w:rPr>
        <w:t>6.c</w:t>
      </w:r>
      <w:proofErr w:type="gramEnd"/>
      <w:r>
        <w:rPr>
          <w:sz w:val="24"/>
          <w:szCs w:val="24"/>
        </w:rPr>
        <w:t xml:space="preserve"> </w:t>
      </w:r>
      <w:r w:rsidR="00CA3E85">
        <w:rPr>
          <w:sz w:val="24"/>
          <w:szCs w:val="24"/>
        </w:rPr>
        <w:t>Ausgehend von d</w:t>
      </w:r>
      <w:r>
        <w:rPr>
          <w:sz w:val="24"/>
          <w:szCs w:val="24"/>
        </w:rPr>
        <w:t>er</w:t>
      </w:r>
      <w:r w:rsidR="00CA3E85">
        <w:rPr>
          <w:sz w:val="24"/>
          <w:szCs w:val="24"/>
        </w:rPr>
        <w:t xml:space="preserve"> Bereitschaft zur Differenzierung plädiere für eine </w:t>
      </w:r>
      <w:r>
        <w:rPr>
          <w:sz w:val="24"/>
          <w:szCs w:val="24"/>
        </w:rPr>
        <w:t>christlich-r</w:t>
      </w:r>
      <w:r w:rsidR="00CA3E85">
        <w:rPr>
          <w:sz w:val="24"/>
          <w:szCs w:val="24"/>
        </w:rPr>
        <w:t xml:space="preserve">abbinische Kooperation </w:t>
      </w:r>
      <w:r w:rsidR="00E27AC4">
        <w:rPr>
          <w:sz w:val="24"/>
          <w:szCs w:val="24"/>
        </w:rPr>
        <w:t xml:space="preserve">auf der Suche nach einer </w:t>
      </w:r>
      <w:r w:rsidR="00CA3E85">
        <w:rPr>
          <w:sz w:val="24"/>
          <w:szCs w:val="24"/>
        </w:rPr>
        <w:t>in Sachen „</w:t>
      </w:r>
      <w:proofErr w:type="spellStart"/>
      <w:r w:rsidR="00CA3E85">
        <w:rPr>
          <w:sz w:val="24"/>
          <w:szCs w:val="24"/>
        </w:rPr>
        <w:t>Tora</w:t>
      </w:r>
      <w:proofErr w:type="spellEnd"/>
      <w:r w:rsidR="00CA3E85">
        <w:rPr>
          <w:sz w:val="24"/>
          <w:szCs w:val="24"/>
        </w:rPr>
        <w:t xml:space="preserve"> für die Völker“.</w:t>
      </w:r>
    </w:p>
    <w:p w:rsidR="003B5373" w:rsidRDefault="003B5373" w:rsidP="009B496E">
      <w:pPr>
        <w:spacing w:after="120" w:line="264" w:lineRule="auto"/>
        <w:rPr>
          <w:sz w:val="24"/>
          <w:szCs w:val="24"/>
        </w:rPr>
      </w:pPr>
    </w:p>
    <w:p w:rsidR="006E0175" w:rsidRDefault="00337B07" w:rsidP="009B496E">
      <w:pPr>
        <w:spacing w:after="120" w:line="264" w:lineRule="auto"/>
        <w:rPr>
          <w:sz w:val="24"/>
          <w:szCs w:val="24"/>
        </w:rPr>
      </w:pPr>
      <w:r w:rsidRPr="00400794">
        <w:rPr>
          <w:sz w:val="24"/>
          <w:szCs w:val="24"/>
        </w:rPr>
        <w:t xml:space="preserve">7. Ungeachtet </w:t>
      </w:r>
      <w:r w:rsidR="00912E6A" w:rsidRPr="00400794">
        <w:rPr>
          <w:sz w:val="24"/>
          <w:szCs w:val="24"/>
        </w:rPr>
        <w:t xml:space="preserve">einer </w:t>
      </w:r>
      <w:r w:rsidRPr="00400794">
        <w:rPr>
          <w:sz w:val="24"/>
          <w:szCs w:val="24"/>
        </w:rPr>
        <w:t>letzten Entscheidung über Asymmetrien im christlichen Verhältnis zum Alten und zum Neuen Testament bleibt festzuhalten: Die kanonische Geltung beider Teile der Bibel ist ein Spiegelbild der bleibenden Geltung der Erwählung des Gottesvolkes Israel und der christlichen Kirche.</w:t>
      </w:r>
      <w:r w:rsidR="004B1001">
        <w:rPr>
          <w:sz w:val="24"/>
          <w:szCs w:val="24"/>
        </w:rPr>
        <w:t xml:space="preserve"> </w:t>
      </w:r>
    </w:p>
    <w:p w:rsidR="00532E03" w:rsidRDefault="00E27AC4" w:rsidP="00E27AC4">
      <w:pPr>
        <w:spacing w:after="120" w:line="264" w:lineRule="auto"/>
        <w:rPr>
          <w:sz w:val="24"/>
          <w:szCs w:val="24"/>
        </w:rPr>
      </w:pPr>
      <w:proofErr w:type="gramStart"/>
      <w:r>
        <w:rPr>
          <w:sz w:val="24"/>
          <w:szCs w:val="24"/>
        </w:rPr>
        <w:t>7.a</w:t>
      </w:r>
      <w:proofErr w:type="gramEnd"/>
      <w:r>
        <w:rPr>
          <w:sz w:val="24"/>
          <w:szCs w:val="24"/>
        </w:rPr>
        <w:t xml:space="preserve"> </w:t>
      </w:r>
      <w:r w:rsidR="00532E03">
        <w:rPr>
          <w:sz w:val="24"/>
          <w:szCs w:val="24"/>
        </w:rPr>
        <w:t>Ich teile nicht den Vorwurf des Antijudaismus</w:t>
      </w:r>
      <w:r w:rsidR="00987F4D">
        <w:rPr>
          <w:sz w:val="24"/>
          <w:szCs w:val="24"/>
        </w:rPr>
        <w:t xml:space="preserve"> und habe ihn nie geteilt</w:t>
      </w:r>
      <w:r w:rsidR="00532E03">
        <w:rPr>
          <w:sz w:val="24"/>
          <w:szCs w:val="24"/>
        </w:rPr>
        <w:t xml:space="preserve">. Wer so explizit wie </w:t>
      </w:r>
      <w:proofErr w:type="spellStart"/>
      <w:r w:rsidR="00532E03">
        <w:rPr>
          <w:sz w:val="24"/>
          <w:szCs w:val="24"/>
        </w:rPr>
        <w:t>N</w:t>
      </w:r>
      <w:r>
        <w:rPr>
          <w:sz w:val="24"/>
          <w:szCs w:val="24"/>
        </w:rPr>
        <w:t>otger</w:t>
      </w:r>
      <w:proofErr w:type="spellEnd"/>
      <w:r>
        <w:rPr>
          <w:sz w:val="24"/>
          <w:szCs w:val="24"/>
        </w:rPr>
        <w:t xml:space="preserve"> </w:t>
      </w:r>
      <w:proofErr w:type="spellStart"/>
      <w:r w:rsidR="00532E03">
        <w:rPr>
          <w:sz w:val="24"/>
          <w:szCs w:val="24"/>
        </w:rPr>
        <w:t>S</w:t>
      </w:r>
      <w:r>
        <w:rPr>
          <w:sz w:val="24"/>
          <w:szCs w:val="24"/>
        </w:rPr>
        <w:t>lenczka</w:t>
      </w:r>
      <w:proofErr w:type="spellEnd"/>
      <w:r w:rsidR="00532E03">
        <w:rPr>
          <w:sz w:val="24"/>
          <w:szCs w:val="24"/>
        </w:rPr>
        <w:t xml:space="preserve"> die </w:t>
      </w:r>
      <w:r w:rsidR="00987F4D">
        <w:rPr>
          <w:sz w:val="24"/>
          <w:szCs w:val="24"/>
        </w:rPr>
        <w:t xml:space="preserve">geistliche </w:t>
      </w:r>
      <w:r w:rsidR="00532E03">
        <w:rPr>
          <w:sz w:val="24"/>
          <w:szCs w:val="24"/>
        </w:rPr>
        <w:t xml:space="preserve">Wertigkeit und Würdigkeit des Gottesvolkes Israel, das mit seiner </w:t>
      </w:r>
      <w:proofErr w:type="spellStart"/>
      <w:r w:rsidR="00532E03">
        <w:rPr>
          <w:sz w:val="24"/>
          <w:szCs w:val="24"/>
        </w:rPr>
        <w:t>Hebräischen</w:t>
      </w:r>
      <w:proofErr w:type="spellEnd"/>
      <w:r w:rsidR="00532E03">
        <w:rPr>
          <w:sz w:val="24"/>
          <w:szCs w:val="24"/>
        </w:rPr>
        <w:t xml:space="preserve"> Bibel lebt, anerkennt, kann schlichtweg nicht des Antijudaismus verklagt werden.</w:t>
      </w:r>
    </w:p>
    <w:p w:rsidR="00366562" w:rsidRDefault="00E27AC4" w:rsidP="00366562">
      <w:pPr>
        <w:spacing w:after="120" w:line="264" w:lineRule="auto"/>
        <w:rPr>
          <w:sz w:val="24"/>
          <w:szCs w:val="24"/>
        </w:rPr>
      </w:pPr>
      <w:proofErr w:type="gramStart"/>
      <w:r>
        <w:rPr>
          <w:sz w:val="24"/>
          <w:szCs w:val="24"/>
        </w:rPr>
        <w:t>7.b</w:t>
      </w:r>
      <w:proofErr w:type="gramEnd"/>
      <w:r>
        <w:rPr>
          <w:sz w:val="24"/>
          <w:szCs w:val="24"/>
        </w:rPr>
        <w:t xml:space="preserve"> </w:t>
      </w:r>
      <w:r w:rsidR="00532E03">
        <w:rPr>
          <w:sz w:val="24"/>
          <w:szCs w:val="24"/>
        </w:rPr>
        <w:t xml:space="preserve">Das klingt </w:t>
      </w:r>
      <w:r>
        <w:rPr>
          <w:sz w:val="24"/>
          <w:szCs w:val="24"/>
        </w:rPr>
        <w:t>allerdings</w:t>
      </w:r>
      <w:r w:rsidR="00532E03">
        <w:rPr>
          <w:sz w:val="24"/>
          <w:szCs w:val="24"/>
        </w:rPr>
        <w:t xml:space="preserve"> milder als es ist: </w:t>
      </w:r>
      <w:proofErr w:type="spellStart"/>
      <w:r w:rsidR="00532E03">
        <w:rPr>
          <w:sz w:val="24"/>
          <w:szCs w:val="24"/>
        </w:rPr>
        <w:t>Dekanonisierung</w:t>
      </w:r>
      <w:proofErr w:type="spellEnd"/>
      <w:r w:rsidR="00532E03">
        <w:rPr>
          <w:sz w:val="24"/>
          <w:szCs w:val="24"/>
        </w:rPr>
        <w:t xml:space="preserve"> des AT schadet nicht dem Judentum (das kann </w:t>
      </w:r>
      <w:r w:rsidR="00987F4D">
        <w:rPr>
          <w:sz w:val="24"/>
          <w:szCs w:val="24"/>
        </w:rPr>
        <w:t>das Judentum</w:t>
      </w:r>
      <w:r w:rsidR="00532E03">
        <w:rPr>
          <w:sz w:val="24"/>
          <w:szCs w:val="24"/>
        </w:rPr>
        <w:t xml:space="preserve"> gut ertragen, siehe Hanna </w:t>
      </w:r>
      <w:proofErr w:type="spellStart"/>
      <w:r w:rsidR="00532E03">
        <w:rPr>
          <w:sz w:val="24"/>
          <w:szCs w:val="24"/>
        </w:rPr>
        <w:t>Liss</w:t>
      </w:r>
      <w:proofErr w:type="spellEnd"/>
      <w:r w:rsidR="00532E03">
        <w:rPr>
          <w:sz w:val="24"/>
          <w:szCs w:val="24"/>
        </w:rPr>
        <w:t xml:space="preserve">); </w:t>
      </w:r>
      <w:r w:rsidR="00CA3E85">
        <w:rPr>
          <w:sz w:val="24"/>
          <w:szCs w:val="24"/>
        </w:rPr>
        <w:t xml:space="preserve">ist auch kein Widerspruch zur Überzeugung vom ungekündigten Bund des Gottesvolkes! </w:t>
      </w:r>
      <w:proofErr w:type="spellStart"/>
      <w:r w:rsidR="00532E03">
        <w:rPr>
          <w:sz w:val="24"/>
          <w:szCs w:val="24"/>
        </w:rPr>
        <w:t>Dekanonisierung</w:t>
      </w:r>
      <w:proofErr w:type="spellEnd"/>
      <w:r w:rsidR="00532E03">
        <w:rPr>
          <w:sz w:val="24"/>
          <w:szCs w:val="24"/>
        </w:rPr>
        <w:t xml:space="preserve"> des AT tut der </w:t>
      </w:r>
      <w:r w:rsidR="00532E03" w:rsidRPr="00E27AC4">
        <w:rPr>
          <w:i/>
          <w:sz w:val="24"/>
          <w:szCs w:val="24"/>
        </w:rPr>
        <w:t>christlichen Identität</w:t>
      </w:r>
      <w:r w:rsidR="00532E03">
        <w:rPr>
          <w:sz w:val="24"/>
          <w:szCs w:val="24"/>
        </w:rPr>
        <w:t xml:space="preserve"> Abbruch</w:t>
      </w:r>
      <w:r w:rsidR="00A758C8">
        <w:rPr>
          <w:sz w:val="24"/>
          <w:szCs w:val="24"/>
        </w:rPr>
        <w:t xml:space="preserve">, nimmt etwas </w:t>
      </w:r>
      <w:r>
        <w:rPr>
          <w:sz w:val="24"/>
          <w:szCs w:val="24"/>
        </w:rPr>
        <w:t xml:space="preserve">Konstitutives </w:t>
      </w:r>
      <w:r w:rsidR="00A758C8">
        <w:rPr>
          <w:sz w:val="24"/>
          <w:szCs w:val="24"/>
        </w:rPr>
        <w:t>weg von der christlichen Identität, entfremdet mich von Jesus dem Nazarener und seiner Bibel und über diese Vermittlung sozusagen</w:t>
      </w:r>
      <w:r w:rsidR="00532E03">
        <w:rPr>
          <w:sz w:val="24"/>
          <w:szCs w:val="24"/>
        </w:rPr>
        <w:t xml:space="preserve"> </w:t>
      </w:r>
      <w:r w:rsidR="00A758C8">
        <w:rPr>
          <w:sz w:val="24"/>
          <w:szCs w:val="24"/>
        </w:rPr>
        <w:t xml:space="preserve">nimmt es mir ein Stück weg von meiner Beziehung zum Judentum. Eine </w:t>
      </w:r>
      <w:proofErr w:type="spellStart"/>
      <w:r w:rsidR="00A758C8">
        <w:rPr>
          <w:sz w:val="24"/>
          <w:szCs w:val="24"/>
        </w:rPr>
        <w:t>Dekanonisierung</w:t>
      </w:r>
      <w:proofErr w:type="spellEnd"/>
      <w:r w:rsidR="00A758C8">
        <w:rPr>
          <w:sz w:val="24"/>
          <w:szCs w:val="24"/>
        </w:rPr>
        <w:t xml:space="preserve"> der </w:t>
      </w:r>
      <w:proofErr w:type="spellStart"/>
      <w:r w:rsidR="00A758C8">
        <w:rPr>
          <w:sz w:val="24"/>
          <w:szCs w:val="24"/>
        </w:rPr>
        <w:t>Hebräischen</w:t>
      </w:r>
      <w:proofErr w:type="spellEnd"/>
      <w:r w:rsidR="00A758C8">
        <w:rPr>
          <w:sz w:val="24"/>
          <w:szCs w:val="24"/>
        </w:rPr>
        <w:t xml:space="preserve"> Bibel im Raum des Christlichen beschädigt letztlich das Ba</w:t>
      </w:r>
      <w:r w:rsidR="00366562">
        <w:rPr>
          <w:sz w:val="24"/>
          <w:szCs w:val="24"/>
        </w:rPr>
        <w:t>nd zwischen Juden und Christen.</w:t>
      </w:r>
    </w:p>
    <w:p w:rsidR="00114790" w:rsidRPr="00366562" w:rsidRDefault="00114790" w:rsidP="00366562">
      <w:pPr>
        <w:spacing w:after="120" w:line="264" w:lineRule="auto"/>
        <w:rPr>
          <w:sz w:val="24"/>
          <w:szCs w:val="24"/>
        </w:rPr>
      </w:pPr>
    </w:p>
    <w:p w:rsidR="00366562" w:rsidRPr="00366562" w:rsidRDefault="00366562" w:rsidP="00366562">
      <w:pPr>
        <w:spacing w:after="0" w:line="240" w:lineRule="auto"/>
        <w:ind w:right="75"/>
        <w:rPr>
          <w:rFonts w:ascii="Arial" w:eastAsia="Times New Roman" w:hAnsi="Arial" w:cs="Arial"/>
          <w:color w:val="000000"/>
          <w:sz w:val="20"/>
          <w:szCs w:val="20"/>
          <w:lang w:eastAsia="de-DE" w:bidi="ar-SA"/>
        </w:rPr>
      </w:pPr>
      <w:r w:rsidRPr="00366562">
        <w:rPr>
          <w:rFonts w:ascii="Arial" w:eastAsia="Times New Roman" w:hAnsi="Arial" w:cs="Arial"/>
          <w:b/>
          <w:bCs/>
          <w:color w:val="000000"/>
          <w:sz w:val="20"/>
          <w:szCs w:val="20"/>
          <w:lang w:eastAsia="de-DE" w:bidi="ar-SA"/>
        </w:rPr>
        <w:t xml:space="preserve">Pfarrer Professor </w:t>
      </w:r>
      <w:r>
        <w:rPr>
          <w:rFonts w:ascii="Arial" w:eastAsia="Times New Roman" w:hAnsi="Arial" w:cs="Arial"/>
          <w:b/>
          <w:bCs/>
          <w:color w:val="000000"/>
          <w:sz w:val="20"/>
          <w:szCs w:val="20"/>
          <w:lang w:eastAsia="de-DE" w:bidi="ar-SA"/>
        </w:rPr>
        <w:t xml:space="preserve">Dr. </w:t>
      </w:r>
      <w:r w:rsidRPr="00366562">
        <w:rPr>
          <w:rFonts w:ascii="Arial" w:eastAsia="Times New Roman" w:hAnsi="Arial" w:cs="Arial"/>
          <w:b/>
          <w:bCs/>
          <w:color w:val="000000"/>
          <w:sz w:val="20"/>
          <w:szCs w:val="20"/>
          <w:lang w:eastAsia="de-DE" w:bidi="ar-SA"/>
        </w:rPr>
        <w:t>Klaus Müller,</w:t>
      </w:r>
    </w:p>
    <w:p w:rsidR="00366562" w:rsidRPr="00366562" w:rsidRDefault="00366562" w:rsidP="00366562">
      <w:pPr>
        <w:spacing w:after="0" w:line="240" w:lineRule="auto"/>
        <w:rPr>
          <w:rFonts w:ascii="Arial" w:eastAsia="Times New Roman" w:hAnsi="Arial" w:cs="Arial"/>
          <w:color w:val="000000"/>
          <w:sz w:val="20"/>
          <w:szCs w:val="20"/>
          <w:lang w:eastAsia="de-DE" w:bidi="ar-SA"/>
        </w:rPr>
      </w:pPr>
      <w:r w:rsidRPr="00366562">
        <w:rPr>
          <w:rFonts w:ascii="Arial" w:eastAsia="Times New Roman" w:hAnsi="Arial" w:cs="Arial"/>
          <w:color w:val="000000"/>
          <w:sz w:val="20"/>
          <w:szCs w:val="20"/>
          <w:lang w:eastAsia="de-DE" w:bidi="ar-SA"/>
        </w:rPr>
        <w:t>Landeskirchlicher Beauftragter für das christlich-jüdische Gespräch</w:t>
      </w:r>
    </w:p>
    <w:p w:rsidR="00366562" w:rsidRPr="00366562" w:rsidRDefault="00366562" w:rsidP="00366562">
      <w:pPr>
        <w:spacing w:after="0" w:line="240" w:lineRule="auto"/>
        <w:rPr>
          <w:rFonts w:ascii="Arial" w:eastAsia="Times New Roman" w:hAnsi="Arial" w:cs="Arial"/>
          <w:color w:val="000000"/>
          <w:sz w:val="20"/>
          <w:szCs w:val="20"/>
          <w:lang w:eastAsia="de-DE" w:bidi="ar-SA"/>
        </w:rPr>
      </w:pPr>
      <w:r w:rsidRPr="00366562">
        <w:rPr>
          <w:rFonts w:ascii="Arial" w:eastAsia="Times New Roman" w:hAnsi="Arial" w:cs="Arial"/>
          <w:color w:val="000000"/>
          <w:sz w:val="20"/>
          <w:szCs w:val="20"/>
          <w:lang w:eastAsia="de-DE" w:bidi="ar-SA"/>
        </w:rPr>
        <w:t>Referat Diakonie, Migration und Interreligiöses Gespräch</w:t>
      </w:r>
    </w:p>
    <w:p w:rsidR="00366562" w:rsidRPr="00366562" w:rsidRDefault="00366562" w:rsidP="00366562">
      <w:pPr>
        <w:spacing w:after="0" w:line="240" w:lineRule="auto"/>
        <w:rPr>
          <w:rFonts w:ascii="Arial" w:eastAsia="Times New Roman" w:hAnsi="Arial" w:cs="Arial"/>
          <w:color w:val="000000"/>
          <w:sz w:val="20"/>
          <w:szCs w:val="20"/>
          <w:lang w:eastAsia="de-DE" w:bidi="ar-SA"/>
        </w:rPr>
      </w:pPr>
      <w:r>
        <w:rPr>
          <w:rFonts w:ascii="Arial" w:eastAsia="Times New Roman" w:hAnsi="Arial" w:cs="Arial"/>
          <w:color w:val="000000"/>
          <w:sz w:val="20"/>
          <w:szCs w:val="20"/>
          <w:lang w:eastAsia="de-DE" w:bidi="ar-SA"/>
        </w:rPr>
        <w:t xml:space="preserve">Vorsitzender der </w:t>
      </w:r>
      <w:r w:rsidR="00274002">
        <w:rPr>
          <w:rFonts w:ascii="Arial" w:eastAsia="Times New Roman" w:hAnsi="Arial" w:cs="Arial"/>
          <w:color w:val="000000"/>
          <w:sz w:val="20"/>
          <w:szCs w:val="20"/>
          <w:lang w:eastAsia="de-DE" w:bidi="ar-SA"/>
        </w:rPr>
        <w:t>KLAK (Konferenz Landeskirchlicher Arbeitskreise Christen und Juden in der EKD)</w:t>
      </w:r>
      <w:bookmarkStart w:id="0" w:name="_GoBack"/>
      <w:bookmarkEnd w:id="0"/>
    </w:p>
    <w:p w:rsidR="00366562" w:rsidRPr="00400794" w:rsidRDefault="00366562" w:rsidP="00E27AC4">
      <w:pPr>
        <w:spacing w:after="120" w:line="264" w:lineRule="auto"/>
        <w:rPr>
          <w:sz w:val="24"/>
          <w:szCs w:val="24"/>
        </w:rPr>
      </w:pPr>
    </w:p>
    <w:sectPr w:rsidR="00366562" w:rsidRPr="00400794" w:rsidSect="00400794">
      <w:headerReference w:type="default" r:id="rId9"/>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C05" w:rsidRDefault="00F90C05" w:rsidP="00987F4D">
      <w:pPr>
        <w:spacing w:after="0" w:line="240" w:lineRule="auto"/>
      </w:pPr>
      <w:r>
        <w:separator/>
      </w:r>
    </w:p>
  </w:endnote>
  <w:endnote w:type="continuationSeparator" w:id="0">
    <w:p w:rsidR="00F90C05" w:rsidRDefault="00F90C05" w:rsidP="0098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C05" w:rsidRDefault="00F90C05" w:rsidP="00987F4D">
      <w:pPr>
        <w:spacing w:after="0" w:line="240" w:lineRule="auto"/>
      </w:pPr>
      <w:r>
        <w:separator/>
      </w:r>
    </w:p>
  </w:footnote>
  <w:footnote w:type="continuationSeparator" w:id="0">
    <w:p w:rsidR="00F90C05" w:rsidRDefault="00F90C05" w:rsidP="00987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029480"/>
      <w:docPartObj>
        <w:docPartGallery w:val="Page Numbers (Top of Page)"/>
        <w:docPartUnique/>
      </w:docPartObj>
    </w:sdtPr>
    <w:sdtEndPr/>
    <w:sdtContent>
      <w:p w:rsidR="00987F4D" w:rsidRDefault="00987F4D">
        <w:pPr>
          <w:pStyle w:val="Kopfzeile"/>
          <w:jc w:val="right"/>
        </w:pPr>
        <w:r>
          <w:fldChar w:fldCharType="begin"/>
        </w:r>
        <w:r>
          <w:instrText>PAGE   \* MERGEFORMAT</w:instrText>
        </w:r>
        <w:r>
          <w:fldChar w:fldCharType="separate"/>
        </w:r>
        <w:r w:rsidR="00274002">
          <w:rPr>
            <w:noProof/>
          </w:rPr>
          <w:t>1</w:t>
        </w:r>
        <w:r>
          <w:fldChar w:fldCharType="end"/>
        </w:r>
      </w:p>
    </w:sdtContent>
  </w:sdt>
  <w:p w:rsidR="00987F4D" w:rsidRDefault="00987F4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54DD"/>
    <w:multiLevelType w:val="hybridMultilevel"/>
    <w:tmpl w:val="ABB02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6C18142E"/>
    <w:multiLevelType w:val="hybridMultilevel"/>
    <w:tmpl w:val="C1E05720"/>
    <w:lvl w:ilvl="0" w:tplc="568EE1B6">
      <w:start w:val="1"/>
      <w:numFmt w:val="bullet"/>
      <w:lvlText w:val="-"/>
      <w:lvlJc w:val="left"/>
      <w:pPr>
        <w:ind w:left="720" w:hanging="360"/>
      </w:pPr>
      <w:rPr>
        <w:rFonts w:ascii="Calibri" w:eastAsiaTheme="minorHAnsi" w:hAnsi="Calibri" w:cstheme="minorBidi"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8812F64"/>
    <w:multiLevelType w:val="hybridMultilevel"/>
    <w:tmpl w:val="0ECE4C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B111035"/>
    <w:multiLevelType w:val="multilevel"/>
    <w:tmpl w:val="E1E48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15D"/>
    <w:rsid w:val="00034128"/>
    <w:rsid w:val="000454D3"/>
    <w:rsid w:val="000E5375"/>
    <w:rsid w:val="00114790"/>
    <w:rsid w:val="00120837"/>
    <w:rsid w:val="001A1FBE"/>
    <w:rsid w:val="00201FAB"/>
    <w:rsid w:val="00216F2F"/>
    <w:rsid w:val="00274002"/>
    <w:rsid w:val="00337B07"/>
    <w:rsid w:val="00366562"/>
    <w:rsid w:val="003B5373"/>
    <w:rsid w:val="00400794"/>
    <w:rsid w:val="00403A6D"/>
    <w:rsid w:val="00446869"/>
    <w:rsid w:val="004B1001"/>
    <w:rsid w:val="00500765"/>
    <w:rsid w:val="005260B1"/>
    <w:rsid w:val="00532E03"/>
    <w:rsid w:val="005575FD"/>
    <w:rsid w:val="00597FFE"/>
    <w:rsid w:val="00602773"/>
    <w:rsid w:val="00615E90"/>
    <w:rsid w:val="006C3AAA"/>
    <w:rsid w:val="006E0175"/>
    <w:rsid w:val="007047AA"/>
    <w:rsid w:val="00715132"/>
    <w:rsid w:val="007B69CF"/>
    <w:rsid w:val="0081474A"/>
    <w:rsid w:val="00817325"/>
    <w:rsid w:val="008A280F"/>
    <w:rsid w:val="008D32DA"/>
    <w:rsid w:val="0090106F"/>
    <w:rsid w:val="00912E6A"/>
    <w:rsid w:val="00922C9A"/>
    <w:rsid w:val="009446F0"/>
    <w:rsid w:val="00987F4D"/>
    <w:rsid w:val="009927F3"/>
    <w:rsid w:val="009B496E"/>
    <w:rsid w:val="009B6B1C"/>
    <w:rsid w:val="009E415D"/>
    <w:rsid w:val="009F2231"/>
    <w:rsid w:val="00A63D49"/>
    <w:rsid w:val="00A758C8"/>
    <w:rsid w:val="00AA099C"/>
    <w:rsid w:val="00AA1A3E"/>
    <w:rsid w:val="00AA2D1A"/>
    <w:rsid w:val="00C02A5F"/>
    <w:rsid w:val="00C42747"/>
    <w:rsid w:val="00C52690"/>
    <w:rsid w:val="00CA3E85"/>
    <w:rsid w:val="00CC7510"/>
    <w:rsid w:val="00CD260E"/>
    <w:rsid w:val="00D51488"/>
    <w:rsid w:val="00D65637"/>
    <w:rsid w:val="00E27AC4"/>
    <w:rsid w:val="00EC6596"/>
    <w:rsid w:val="00EE1042"/>
    <w:rsid w:val="00EE618F"/>
    <w:rsid w:val="00F05E33"/>
    <w:rsid w:val="00F24DFE"/>
    <w:rsid w:val="00F90C0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656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7B07"/>
    <w:pPr>
      <w:ind w:left="720"/>
      <w:contextualSpacing/>
    </w:pPr>
  </w:style>
  <w:style w:type="paragraph" w:customStyle="1" w:styleId="Default">
    <w:name w:val="Default"/>
    <w:rsid w:val="00400794"/>
    <w:pPr>
      <w:autoSpaceDE w:val="0"/>
      <w:autoSpaceDN w:val="0"/>
      <w:adjustRightInd w:val="0"/>
      <w:spacing w:after="0" w:line="240" w:lineRule="auto"/>
    </w:pPr>
    <w:rPr>
      <w:rFonts w:ascii="Book Antiqua" w:hAnsi="Book Antiqua" w:cs="Book Antiqua"/>
      <w:color w:val="000000"/>
      <w:sz w:val="24"/>
      <w:szCs w:val="24"/>
    </w:rPr>
  </w:style>
  <w:style w:type="paragraph" w:styleId="Kopfzeile">
    <w:name w:val="header"/>
    <w:basedOn w:val="Standard"/>
    <w:link w:val="KopfzeileZchn"/>
    <w:uiPriority w:val="99"/>
    <w:unhideWhenUsed/>
    <w:rsid w:val="00987F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7F4D"/>
  </w:style>
  <w:style w:type="paragraph" w:styleId="Fuzeile">
    <w:name w:val="footer"/>
    <w:basedOn w:val="Standard"/>
    <w:link w:val="FuzeileZchn"/>
    <w:uiPriority w:val="99"/>
    <w:unhideWhenUsed/>
    <w:rsid w:val="00987F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7F4D"/>
  </w:style>
  <w:style w:type="paragraph" w:styleId="Sprechblasentext">
    <w:name w:val="Balloon Text"/>
    <w:basedOn w:val="Standard"/>
    <w:link w:val="SprechblasentextZchn"/>
    <w:uiPriority w:val="99"/>
    <w:semiHidden/>
    <w:unhideWhenUsed/>
    <w:rsid w:val="000454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54D3"/>
    <w:rPr>
      <w:rFonts w:ascii="Tahoma" w:hAnsi="Tahoma" w:cs="Tahoma"/>
      <w:sz w:val="16"/>
      <w:szCs w:val="16"/>
    </w:rPr>
  </w:style>
  <w:style w:type="paragraph" w:styleId="StandardWeb">
    <w:name w:val="Normal (Web)"/>
    <w:basedOn w:val="Standard"/>
    <w:uiPriority w:val="99"/>
    <w:semiHidden/>
    <w:unhideWhenUsed/>
    <w:rsid w:val="00366562"/>
    <w:pPr>
      <w:spacing w:before="100" w:beforeAutospacing="1" w:after="100" w:afterAutospacing="1" w:line="240" w:lineRule="auto"/>
    </w:pPr>
    <w:rPr>
      <w:rFonts w:ascii="Times New Roman" w:eastAsia="Times New Roman" w:hAnsi="Times New Roman" w:cs="Times New Roman"/>
      <w:sz w:val="24"/>
      <w:szCs w:val="24"/>
      <w:lang w:eastAsia="de-DE" w:bidi="ar-SA"/>
    </w:rPr>
  </w:style>
  <w:style w:type="character" w:styleId="Fett">
    <w:name w:val="Strong"/>
    <w:basedOn w:val="Absatz-Standardschriftart"/>
    <w:uiPriority w:val="22"/>
    <w:qFormat/>
    <w:rsid w:val="003665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656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7B07"/>
    <w:pPr>
      <w:ind w:left="720"/>
      <w:contextualSpacing/>
    </w:pPr>
  </w:style>
  <w:style w:type="paragraph" w:customStyle="1" w:styleId="Default">
    <w:name w:val="Default"/>
    <w:rsid w:val="00400794"/>
    <w:pPr>
      <w:autoSpaceDE w:val="0"/>
      <w:autoSpaceDN w:val="0"/>
      <w:adjustRightInd w:val="0"/>
      <w:spacing w:after="0" w:line="240" w:lineRule="auto"/>
    </w:pPr>
    <w:rPr>
      <w:rFonts w:ascii="Book Antiqua" w:hAnsi="Book Antiqua" w:cs="Book Antiqua"/>
      <w:color w:val="000000"/>
      <w:sz w:val="24"/>
      <w:szCs w:val="24"/>
    </w:rPr>
  </w:style>
  <w:style w:type="paragraph" w:styleId="Kopfzeile">
    <w:name w:val="header"/>
    <w:basedOn w:val="Standard"/>
    <w:link w:val="KopfzeileZchn"/>
    <w:uiPriority w:val="99"/>
    <w:unhideWhenUsed/>
    <w:rsid w:val="00987F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7F4D"/>
  </w:style>
  <w:style w:type="paragraph" w:styleId="Fuzeile">
    <w:name w:val="footer"/>
    <w:basedOn w:val="Standard"/>
    <w:link w:val="FuzeileZchn"/>
    <w:uiPriority w:val="99"/>
    <w:unhideWhenUsed/>
    <w:rsid w:val="00987F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7F4D"/>
  </w:style>
  <w:style w:type="paragraph" w:styleId="Sprechblasentext">
    <w:name w:val="Balloon Text"/>
    <w:basedOn w:val="Standard"/>
    <w:link w:val="SprechblasentextZchn"/>
    <w:uiPriority w:val="99"/>
    <w:semiHidden/>
    <w:unhideWhenUsed/>
    <w:rsid w:val="000454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54D3"/>
    <w:rPr>
      <w:rFonts w:ascii="Tahoma" w:hAnsi="Tahoma" w:cs="Tahoma"/>
      <w:sz w:val="16"/>
      <w:szCs w:val="16"/>
    </w:rPr>
  </w:style>
  <w:style w:type="paragraph" w:styleId="StandardWeb">
    <w:name w:val="Normal (Web)"/>
    <w:basedOn w:val="Standard"/>
    <w:uiPriority w:val="99"/>
    <w:semiHidden/>
    <w:unhideWhenUsed/>
    <w:rsid w:val="00366562"/>
    <w:pPr>
      <w:spacing w:before="100" w:beforeAutospacing="1" w:after="100" w:afterAutospacing="1" w:line="240" w:lineRule="auto"/>
    </w:pPr>
    <w:rPr>
      <w:rFonts w:ascii="Times New Roman" w:eastAsia="Times New Roman" w:hAnsi="Times New Roman" w:cs="Times New Roman"/>
      <w:sz w:val="24"/>
      <w:szCs w:val="24"/>
      <w:lang w:eastAsia="de-DE" w:bidi="ar-SA"/>
    </w:rPr>
  </w:style>
  <w:style w:type="character" w:styleId="Fett">
    <w:name w:val="Strong"/>
    <w:basedOn w:val="Absatz-Standardschriftart"/>
    <w:uiPriority w:val="22"/>
    <w:qFormat/>
    <w:rsid w:val="00366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11068">
      <w:bodyDiv w:val="1"/>
      <w:marLeft w:val="0"/>
      <w:marRight w:val="0"/>
      <w:marTop w:val="0"/>
      <w:marBottom w:val="0"/>
      <w:divBdr>
        <w:top w:val="none" w:sz="0" w:space="0" w:color="auto"/>
        <w:left w:val="none" w:sz="0" w:space="0" w:color="auto"/>
        <w:bottom w:val="none" w:sz="0" w:space="0" w:color="auto"/>
        <w:right w:val="none" w:sz="0" w:space="0" w:color="auto"/>
      </w:divBdr>
      <w:divsChild>
        <w:div w:id="567501295">
          <w:marLeft w:val="0"/>
          <w:marRight w:val="0"/>
          <w:marTop w:val="0"/>
          <w:marBottom w:val="0"/>
          <w:divBdr>
            <w:top w:val="none" w:sz="0" w:space="0" w:color="auto"/>
            <w:left w:val="none" w:sz="0" w:space="0" w:color="auto"/>
            <w:bottom w:val="none" w:sz="0" w:space="0" w:color="auto"/>
            <w:right w:val="none" w:sz="0" w:space="0" w:color="auto"/>
          </w:divBdr>
        </w:div>
        <w:div w:id="1054697210">
          <w:marLeft w:val="0"/>
          <w:marRight w:val="0"/>
          <w:marTop w:val="0"/>
          <w:marBottom w:val="0"/>
          <w:divBdr>
            <w:top w:val="none" w:sz="0" w:space="0" w:color="auto"/>
            <w:left w:val="none" w:sz="0" w:space="0" w:color="auto"/>
            <w:bottom w:val="none" w:sz="0" w:space="0" w:color="auto"/>
            <w:right w:val="none" w:sz="0" w:space="0" w:color="auto"/>
          </w:divBdr>
        </w:div>
        <w:div w:id="423258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6C9D8-6EA3-4AED-AECF-2C74F608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7678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 und Rachel Mueller</dc:creator>
  <cp:lastModifiedBy>EJW-Bretten</cp:lastModifiedBy>
  <cp:revision>5</cp:revision>
  <cp:lastPrinted>2015-11-19T11:01:00Z</cp:lastPrinted>
  <dcterms:created xsi:type="dcterms:W3CDTF">2015-11-23T19:55:00Z</dcterms:created>
  <dcterms:modified xsi:type="dcterms:W3CDTF">2015-11-25T09:44:00Z</dcterms:modified>
</cp:coreProperties>
</file>